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山东省民委</w:t>
      </w:r>
      <w:r>
        <w:rPr>
          <w:rFonts w:hint="eastAsia" w:ascii="方正小标宋简体" w:hAnsi="方正小标宋简体" w:eastAsia="方正小标宋简体" w:cs="方正小标宋简体"/>
          <w:sz w:val="44"/>
          <w:szCs w:val="44"/>
          <w:lang w:eastAsia="zh-CN"/>
        </w:rPr>
        <w:t>（省宗教局）</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w:t>
      </w:r>
      <w:r>
        <w:rPr>
          <w:rFonts w:hint="eastAsia" w:ascii="方正小标宋简体" w:hAnsi="方正小标宋简体" w:eastAsia="方正小标宋简体" w:cs="方正小标宋简体"/>
          <w:sz w:val="44"/>
          <w:szCs w:val="44"/>
          <w:lang w:val="en-US" w:eastAsia="zh-CN"/>
        </w:rPr>
        <w:t>7</w:t>
      </w:r>
      <w:r>
        <w:rPr>
          <w:rFonts w:hint="eastAsia" w:ascii="方正小标宋简体" w:hAnsi="方正小标宋简体" w:eastAsia="方正小标宋简体" w:cs="方正小标宋简体"/>
          <w:sz w:val="44"/>
          <w:szCs w:val="44"/>
        </w:rPr>
        <w:t>年度政府信息公开工作报告</w:t>
      </w:r>
    </w:p>
    <w:p>
      <w:pPr>
        <w:ind w:left="0" w:leftChars="0" w:firstLine="640" w:firstLineChars="200"/>
        <w:rPr>
          <w:rFonts w:hint="eastAsia" w:ascii="仿宋_GB2312" w:hAnsi="仿宋_GB2312" w:eastAsia="仿宋_GB2312" w:cs="仿宋_GB2312"/>
          <w:sz w:val="32"/>
          <w:szCs w:val="32"/>
        </w:rPr>
      </w:pPr>
    </w:p>
    <w:p>
      <w:pPr>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根据《中华人民共和国政府信息公开条例》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《山东省政府信息公开办法》</w:t>
      </w:r>
      <w:r>
        <w:rPr>
          <w:rFonts w:hint="eastAsia" w:ascii="仿宋_GB2312" w:hAnsi="仿宋_GB2312" w:eastAsia="仿宋_GB2312" w:cs="仿宋_GB2312"/>
          <w:sz w:val="32"/>
          <w:szCs w:val="32"/>
          <w:lang w:eastAsia="zh-CN"/>
        </w:rPr>
        <w:t>、《2017年山东省政务公开工作要点》</w:t>
      </w:r>
      <w:r>
        <w:rPr>
          <w:rFonts w:hint="eastAsia" w:ascii="仿宋_GB2312" w:hAnsi="仿宋_GB2312" w:eastAsia="仿宋_GB2312" w:cs="仿宋_GB2312"/>
          <w:sz w:val="32"/>
          <w:szCs w:val="32"/>
        </w:rPr>
        <w:t>的有关规定和</w:t>
      </w:r>
      <w:r>
        <w:rPr>
          <w:rFonts w:hint="eastAsia" w:ascii="仿宋_GB2312" w:hAnsi="仿宋_GB2312" w:eastAsia="仿宋_GB2312" w:cs="仿宋_GB2312"/>
          <w:sz w:val="32"/>
          <w:szCs w:val="32"/>
          <w:lang w:eastAsia="zh-CN"/>
        </w:rPr>
        <w:t>省</w:t>
      </w:r>
      <w:r>
        <w:rPr>
          <w:rFonts w:hint="eastAsia" w:ascii="仿宋_GB2312" w:hAnsi="仿宋_GB2312" w:eastAsia="仿宋_GB2312" w:cs="仿宋_GB2312"/>
          <w:sz w:val="32"/>
          <w:szCs w:val="32"/>
        </w:rPr>
        <w:t>政府办公厅《关于</w:t>
      </w:r>
      <w:r>
        <w:rPr>
          <w:rFonts w:hint="eastAsia" w:ascii="仿宋_GB2312" w:hAnsi="仿宋_GB2312" w:eastAsia="仿宋_GB2312" w:cs="仿宋_GB2312"/>
          <w:sz w:val="32"/>
          <w:szCs w:val="32"/>
          <w:lang w:eastAsia="zh-CN"/>
        </w:rPr>
        <w:t>做好</w:t>
      </w:r>
      <w:r>
        <w:rPr>
          <w:rFonts w:hint="eastAsia" w:ascii="仿宋_GB2312" w:hAnsi="仿宋_GB2312" w:eastAsia="仿宋_GB2312" w:cs="仿宋_GB2312"/>
          <w:sz w:val="32"/>
          <w:szCs w:val="32"/>
          <w:lang w:val="en-US" w:eastAsia="zh-CN"/>
        </w:rPr>
        <w:t>2017年度</w:t>
      </w:r>
      <w:r>
        <w:rPr>
          <w:rFonts w:hint="eastAsia" w:ascii="仿宋_GB2312" w:hAnsi="仿宋_GB2312" w:eastAsia="仿宋_GB2312" w:cs="仿宋_GB2312"/>
          <w:sz w:val="32"/>
          <w:szCs w:val="32"/>
          <w:lang w:eastAsia="zh-CN"/>
        </w:rPr>
        <w:t>政府信息公开年度报告编制发布工作的通知</w:t>
      </w:r>
      <w:r>
        <w:rPr>
          <w:rFonts w:hint="eastAsia" w:ascii="仿宋_GB2312" w:hAnsi="仿宋_GB2312" w:eastAsia="仿宋_GB2312" w:cs="仿宋_GB2312"/>
          <w:sz w:val="32"/>
          <w:szCs w:val="32"/>
        </w:rPr>
        <w:t>》要求，现</w:t>
      </w:r>
      <w:r>
        <w:rPr>
          <w:rFonts w:hint="eastAsia" w:ascii="仿宋_GB2312" w:hAnsi="仿宋_GB2312" w:eastAsia="仿宋_GB2312" w:cs="仿宋_GB2312"/>
          <w:sz w:val="32"/>
          <w:szCs w:val="32"/>
          <w:lang w:eastAsia="zh-CN"/>
        </w:rPr>
        <w:t>将山东省民委（省宗教局）</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年政府信息公开工作</w:t>
      </w:r>
      <w:r>
        <w:rPr>
          <w:rFonts w:hint="eastAsia" w:ascii="仿宋_GB2312" w:hAnsi="仿宋_GB2312" w:eastAsia="仿宋_GB2312" w:cs="仿宋_GB2312"/>
          <w:sz w:val="32"/>
          <w:szCs w:val="32"/>
          <w:lang w:eastAsia="zh-CN"/>
        </w:rPr>
        <w:t>报告如下</w:t>
      </w:r>
      <w:r>
        <w:rPr>
          <w:rFonts w:hint="eastAsia" w:ascii="仿宋_GB2312" w:hAnsi="仿宋_GB2312" w:eastAsia="仿宋_GB2312" w:cs="仿宋_GB2312"/>
          <w:sz w:val="32"/>
          <w:szCs w:val="32"/>
        </w:rPr>
        <w:t>。</w:t>
      </w:r>
    </w:p>
    <w:p>
      <w:pPr>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本报告</w:t>
      </w:r>
      <w:r>
        <w:rPr>
          <w:rFonts w:hint="eastAsia" w:ascii="仿宋_GB2312" w:hAnsi="仿宋_GB2312" w:eastAsia="仿宋_GB2312" w:cs="仿宋_GB2312"/>
          <w:sz w:val="32"/>
          <w:szCs w:val="32"/>
          <w:lang w:eastAsia="zh-CN"/>
        </w:rPr>
        <w:t>包括</w:t>
      </w:r>
      <w:r>
        <w:rPr>
          <w:rFonts w:hint="eastAsia" w:ascii="仿宋_GB2312" w:hAnsi="仿宋_GB2312" w:eastAsia="仿宋_GB2312" w:cs="仿宋_GB2312"/>
          <w:sz w:val="32"/>
          <w:szCs w:val="32"/>
        </w:rPr>
        <w:t>主动公开政府信息的情况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依申请公开政府信息和不予公开政府信息的情况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政府信息公开的收费及减免情况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因政府信息公开申请行政复议、提起行政诉讼的情况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政府信息公开工作存在的主要问题及改进情况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其他需要报告的事项</w:t>
      </w:r>
      <w:r>
        <w:rPr>
          <w:rFonts w:hint="eastAsia" w:ascii="仿宋_GB2312" w:hAnsi="仿宋_GB2312" w:eastAsia="仿宋_GB2312" w:cs="仿宋_GB2312"/>
          <w:sz w:val="32"/>
          <w:szCs w:val="32"/>
          <w:lang w:eastAsia="zh-CN"/>
        </w:rPr>
        <w:t>及落实《2017年山东省政务公开工作要点》情况等内容</w:t>
      </w:r>
      <w:r>
        <w:rPr>
          <w:rFonts w:hint="eastAsia" w:ascii="仿宋_GB2312" w:hAnsi="仿宋_GB2312" w:eastAsia="仿宋_GB2312" w:cs="仿宋_GB2312"/>
          <w:sz w:val="32"/>
          <w:szCs w:val="32"/>
        </w:rPr>
        <w:t>。本报告可在山东省人民政府门户网站(http://www.shandong.gov.cn/)和山东省</w:t>
      </w:r>
      <w:r>
        <w:rPr>
          <w:rFonts w:hint="eastAsia" w:ascii="仿宋_GB2312" w:hAnsi="仿宋_GB2312" w:eastAsia="仿宋_GB2312" w:cs="仿宋_GB2312"/>
          <w:sz w:val="32"/>
          <w:szCs w:val="32"/>
          <w:lang w:eastAsia="zh-CN"/>
        </w:rPr>
        <w:t>民委（宗教局）</w:t>
      </w:r>
      <w:r>
        <w:rPr>
          <w:rFonts w:hint="eastAsia" w:ascii="仿宋_GB2312" w:hAnsi="仿宋_GB2312" w:eastAsia="仿宋_GB2312" w:cs="仿宋_GB2312"/>
          <w:sz w:val="32"/>
          <w:szCs w:val="32"/>
        </w:rPr>
        <w:t>门户网站(http://www.sdmw.gov.cn</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)查阅或下载。公民、法人或者其他组织如有其他需求或建议，可与山东省</w:t>
      </w:r>
      <w:r>
        <w:rPr>
          <w:rFonts w:hint="eastAsia" w:ascii="仿宋_GB2312" w:hAnsi="仿宋_GB2312" w:eastAsia="仿宋_GB2312" w:cs="仿宋_GB2312"/>
          <w:sz w:val="32"/>
          <w:szCs w:val="32"/>
          <w:lang w:eastAsia="zh-CN"/>
        </w:rPr>
        <w:t>民委</w:t>
      </w:r>
      <w:r>
        <w:rPr>
          <w:rFonts w:hint="eastAsia" w:ascii="仿宋_GB2312" w:hAnsi="仿宋_GB2312" w:eastAsia="仿宋_GB2312" w:cs="仿宋_GB2312"/>
          <w:sz w:val="32"/>
          <w:szCs w:val="32"/>
        </w:rPr>
        <w:t>办公室联系，联系地址：山东省济南市</w:t>
      </w:r>
      <w:r>
        <w:rPr>
          <w:rFonts w:hint="eastAsia" w:ascii="仿宋_GB2312" w:hAnsi="仿宋_GB2312" w:eastAsia="仿宋_GB2312" w:cs="仿宋_GB2312"/>
          <w:sz w:val="32"/>
          <w:szCs w:val="32"/>
          <w:lang w:eastAsia="zh-CN"/>
        </w:rPr>
        <w:t>历下区</w:t>
      </w:r>
      <w:r>
        <w:rPr>
          <w:rFonts w:hint="eastAsia" w:ascii="仿宋_GB2312" w:hAnsi="仿宋_GB2312" w:eastAsia="仿宋_GB2312" w:cs="仿宋_GB2312"/>
          <w:sz w:val="32"/>
          <w:szCs w:val="32"/>
        </w:rPr>
        <w:t xml:space="preserve">省府前街1号，邮政编码：250011，联系电话：0531—86062154。 </w:t>
      </w:r>
    </w:p>
    <w:p>
      <w:pPr>
        <w:ind w:left="0" w:leftChars="0" w:firstLine="640" w:firstLineChars="200"/>
        <w:rPr>
          <w:rFonts w:hint="eastAsia"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sz w:val="32"/>
          <w:szCs w:val="32"/>
          <w:lang w:eastAsia="zh-CN"/>
        </w:rPr>
        <w:t>、</w:t>
      </w:r>
      <w:r>
        <w:rPr>
          <w:rFonts w:hint="eastAsia" w:ascii="黑体" w:hAnsi="黑体" w:eastAsia="黑体" w:cs="黑体"/>
          <w:sz w:val="32"/>
          <w:szCs w:val="32"/>
        </w:rPr>
        <w:t>行政机关主动公开政府信息的情况</w:t>
      </w:r>
    </w:p>
    <w:p>
      <w:p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委</w:t>
      </w:r>
      <w:r>
        <w:rPr>
          <w:rFonts w:hint="eastAsia" w:ascii="仿宋_GB2312" w:hAnsi="仿宋_GB2312" w:eastAsia="仿宋_GB2312" w:cs="仿宋_GB2312"/>
          <w:sz w:val="32"/>
          <w:szCs w:val="32"/>
        </w:rPr>
        <w:t>把主动公开政府信息作为</w:t>
      </w:r>
      <w:r>
        <w:rPr>
          <w:rFonts w:hint="eastAsia" w:ascii="仿宋_GB2312" w:hAnsi="仿宋_GB2312" w:eastAsia="仿宋_GB2312" w:cs="仿宋_GB2312"/>
          <w:sz w:val="32"/>
          <w:szCs w:val="32"/>
          <w:lang w:eastAsia="zh-CN"/>
        </w:rPr>
        <w:t>重要</w:t>
      </w:r>
      <w:r>
        <w:rPr>
          <w:rFonts w:hint="eastAsia" w:ascii="仿宋_GB2312" w:hAnsi="仿宋_GB2312" w:eastAsia="仿宋_GB2312" w:cs="仿宋_GB2312"/>
          <w:sz w:val="32"/>
          <w:szCs w:val="32"/>
        </w:rPr>
        <w:t>工作，加大主动公开力度，丰富主动公开途径，扎实推进主动公开政府信息工作。</w:t>
      </w:r>
      <w:r>
        <w:rPr>
          <w:rFonts w:hint="eastAsia" w:ascii="仿宋_GB2312" w:hAnsi="仿宋_GB2312" w:eastAsia="仿宋_GB2312" w:cs="仿宋_GB2312"/>
          <w:sz w:val="32"/>
          <w:szCs w:val="32"/>
          <w:lang w:val="en-US" w:eastAsia="zh-CN"/>
        </w:rPr>
        <w:t>2017年，通过山东省政府信息公开管理系统、委门户网站、政务微博、微信、《简报》等平台主动公开政府信息970多条。其中，省政府信息公开管理系统63条、网站755条、微博51条、微信92条、简报12条。</w:t>
      </w:r>
    </w:p>
    <w:p>
      <w:pPr>
        <w:ind w:left="0" w:leftChars="0" w:firstLine="640" w:firstLineChars="200"/>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val="en-US" w:eastAsia="zh-CN"/>
        </w:rPr>
        <w:t>（一）主动公开</w:t>
      </w:r>
      <w:r>
        <w:rPr>
          <w:rFonts w:hint="eastAsia" w:ascii="楷体_GB2312" w:hAnsi="楷体_GB2312" w:eastAsia="楷体_GB2312" w:cs="楷体_GB2312"/>
          <w:sz w:val="32"/>
          <w:szCs w:val="32"/>
          <w:lang w:eastAsia="zh-CN"/>
        </w:rPr>
        <w:t>行政许可、行政处罚、权责清单、公共服务事项、中介服务项目和证明材料清单、随机抽查事项清单。</w:t>
      </w:r>
    </w:p>
    <w:p>
      <w:pPr>
        <w:ind w:left="0" w:leftChars="0" w:firstLine="420" w:firstLineChars="200"/>
      </w:pPr>
      <w:r>
        <w:drawing>
          <wp:inline distT="0" distB="0" distL="114300" distR="114300">
            <wp:extent cx="5271135" cy="3105150"/>
            <wp:effectExtent l="0" t="0" r="5715"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6"/>
                    <a:stretch>
                      <a:fillRect/>
                    </a:stretch>
                  </pic:blipFill>
                  <pic:spPr>
                    <a:xfrm>
                      <a:off x="0" y="0"/>
                      <a:ext cx="5271135" cy="3105150"/>
                    </a:xfrm>
                    <a:prstGeom prst="rect">
                      <a:avLst/>
                    </a:prstGeom>
                    <a:noFill/>
                    <a:ln w="9525">
                      <a:noFill/>
                    </a:ln>
                  </pic:spPr>
                </pic:pic>
              </a:graphicData>
            </a:graphic>
          </wp:inline>
        </w:drawing>
      </w:r>
    </w:p>
    <w:p>
      <w:pPr>
        <w:ind w:left="0" w:leftChars="0" w:firstLine="420" w:firstLineChars="200"/>
      </w:pPr>
    </w:p>
    <w:p>
      <w:pPr>
        <w:ind w:left="0" w:leftChars="0" w:firstLine="420" w:firstLineChars="200"/>
        <w:rPr>
          <w:rFonts w:hint="eastAsia"/>
          <w:lang w:eastAsia="zh-CN"/>
        </w:rPr>
      </w:pPr>
      <w:r>
        <w:drawing>
          <wp:inline distT="0" distB="0" distL="114300" distR="114300">
            <wp:extent cx="5265420" cy="2733040"/>
            <wp:effectExtent l="0" t="0" r="11430" b="1016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7"/>
                    <a:stretch>
                      <a:fillRect/>
                    </a:stretch>
                  </pic:blipFill>
                  <pic:spPr>
                    <a:xfrm>
                      <a:off x="0" y="0"/>
                      <a:ext cx="5265420" cy="2733040"/>
                    </a:xfrm>
                    <a:prstGeom prst="rect">
                      <a:avLst/>
                    </a:prstGeom>
                    <a:noFill/>
                    <a:ln w="9525">
                      <a:noFill/>
                    </a:ln>
                  </pic:spPr>
                </pic:pic>
              </a:graphicData>
            </a:graphic>
          </wp:inline>
        </w:drawing>
      </w:r>
    </w:p>
    <w:p>
      <w:pPr>
        <w:ind w:left="0" w:leftChars="0" w:firstLine="640" w:firstLineChars="200"/>
        <w:rPr>
          <w:rFonts w:hint="eastAsia" w:ascii="仿宋_GB2312" w:hAnsi="仿宋_GB2312" w:eastAsia="仿宋_GB2312" w:cs="仿宋_GB2312"/>
          <w:sz w:val="32"/>
          <w:szCs w:val="32"/>
          <w:lang w:val="en-US" w:eastAsia="zh-CN"/>
        </w:rPr>
      </w:pPr>
    </w:p>
    <w:p>
      <w:pPr>
        <w:ind w:left="0" w:leftChars="0" w:firstLine="420" w:firstLineChars="200"/>
      </w:pPr>
      <w:r>
        <w:drawing>
          <wp:inline distT="0" distB="0" distL="114300" distR="114300">
            <wp:extent cx="5267960" cy="3298825"/>
            <wp:effectExtent l="0" t="0" r="8890" b="1587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8"/>
                    <a:stretch>
                      <a:fillRect/>
                    </a:stretch>
                  </pic:blipFill>
                  <pic:spPr>
                    <a:xfrm>
                      <a:off x="0" y="0"/>
                      <a:ext cx="5267960" cy="3298825"/>
                    </a:xfrm>
                    <a:prstGeom prst="rect">
                      <a:avLst/>
                    </a:prstGeom>
                    <a:noFill/>
                    <a:ln w="9525">
                      <a:noFill/>
                    </a:ln>
                  </pic:spPr>
                </pic:pic>
              </a:graphicData>
            </a:graphic>
          </wp:inline>
        </w:drawing>
      </w:r>
    </w:p>
    <w:p>
      <w:pPr>
        <w:ind w:left="0" w:leftChars="0" w:firstLine="420" w:firstLineChars="200"/>
      </w:pPr>
      <w:r>
        <w:drawing>
          <wp:inline distT="0" distB="0" distL="114300" distR="114300">
            <wp:extent cx="5272405" cy="1257300"/>
            <wp:effectExtent l="0" t="0" r="4445" b="0"/>
            <wp:docPr id="1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3"/>
                    <pic:cNvPicPr>
                      <a:picLocks noChangeAspect="1"/>
                    </pic:cNvPicPr>
                  </pic:nvPicPr>
                  <pic:blipFill>
                    <a:blip r:embed="rId9"/>
                    <a:stretch>
                      <a:fillRect/>
                    </a:stretch>
                  </pic:blipFill>
                  <pic:spPr>
                    <a:xfrm>
                      <a:off x="0" y="0"/>
                      <a:ext cx="5272405" cy="1257300"/>
                    </a:xfrm>
                    <a:prstGeom prst="rect">
                      <a:avLst/>
                    </a:prstGeom>
                    <a:noFill/>
                    <a:ln w="9525">
                      <a:noFill/>
                    </a:ln>
                  </pic:spPr>
                </pic:pic>
              </a:graphicData>
            </a:graphic>
          </wp:inline>
        </w:drawing>
      </w:r>
    </w:p>
    <w:p>
      <w:pPr>
        <w:ind w:left="0" w:leftChars="0" w:firstLine="420" w:firstLineChars="200"/>
      </w:pPr>
      <w:r>
        <w:drawing>
          <wp:inline distT="0" distB="0" distL="114300" distR="114300">
            <wp:extent cx="5266055" cy="2884170"/>
            <wp:effectExtent l="0" t="0" r="10795" b="11430"/>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pic:cNvPicPr>
                  </pic:nvPicPr>
                  <pic:blipFill>
                    <a:blip r:embed="rId10"/>
                    <a:stretch>
                      <a:fillRect/>
                    </a:stretch>
                  </pic:blipFill>
                  <pic:spPr>
                    <a:xfrm>
                      <a:off x="0" y="0"/>
                      <a:ext cx="5266055" cy="2884170"/>
                    </a:xfrm>
                    <a:prstGeom prst="rect">
                      <a:avLst/>
                    </a:prstGeom>
                    <a:noFill/>
                    <a:ln w="9525">
                      <a:noFill/>
                    </a:ln>
                  </pic:spPr>
                </pic:pic>
              </a:graphicData>
            </a:graphic>
          </wp:inline>
        </w:drawing>
      </w:r>
    </w:p>
    <w:p>
      <w:pPr>
        <w:ind w:left="0" w:leftChars="0" w:firstLine="420" w:firstLineChars="200"/>
        <w:rPr>
          <w:rFonts w:hint="eastAsia"/>
          <w:lang w:val="en-US" w:eastAsia="zh-CN"/>
        </w:rPr>
      </w:pPr>
      <w:r>
        <w:drawing>
          <wp:inline distT="0" distB="0" distL="114300" distR="114300">
            <wp:extent cx="5271770" cy="2986405"/>
            <wp:effectExtent l="0" t="0" r="5080" b="444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1"/>
                    <a:stretch>
                      <a:fillRect/>
                    </a:stretch>
                  </pic:blipFill>
                  <pic:spPr>
                    <a:xfrm>
                      <a:off x="0" y="0"/>
                      <a:ext cx="5271770" cy="2986405"/>
                    </a:xfrm>
                    <a:prstGeom prst="rect">
                      <a:avLst/>
                    </a:prstGeom>
                    <a:noFill/>
                    <a:ln w="9525">
                      <a:noFill/>
                    </a:ln>
                  </pic:spPr>
                </pic:pic>
              </a:graphicData>
            </a:graphic>
          </wp:inline>
        </w:drawing>
      </w:r>
    </w:p>
    <w:p>
      <w:pPr>
        <w:ind w:left="0" w:leftChars="0" w:firstLine="640" w:firstLineChars="200"/>
        <w:rPr>
          <w:rFonts w:hint="eastAsia" w:ascii="仿宋_GB2312" w:hAnsi="仿宋_GB2312" w:eastAsia="仿宋_GB2312" w:cs="仿宋_GB2312"/>
          <w:sz w:val="32"/>
          <w:szCs w:val="32"/>
          <w:lang w:val="en-US" w:eastAsia="zh-CN"/>
        </w:rPr>
      </w:pPr>
    </w:p>
    <w:p>
      <w:pPr>
        <w:ind w:left="0" w:leftChars="0" w:firstLine="640" w:firstLineChars="200"/>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（二）主动公开部门财务预决算信息。</w:t>
      </w:r>
    </w:p>
    <w:p>
      <w:pPr>
        <w:ind w:left="0" w:leftChars="0" w:firstLine="420" w:firstLineChars="200"/>
        <w:rPr>
          <w:rFonts w:hint="eastAsia" w:ascii="仿宋_GB2312" w:hAnsi="仿宋_GB2312" w:eastAsia="仿宋_GB2312" w:cs="仿宋_GB2312"/>
          <w:sz w:val="32"/>
          <w:szCs w:val="32"/>
        </w:rPr>
      </w:pPr>
      <w:r>
        <w:drawing>
          <wp:inline distT="0" distB="0" distL="114300" distR="114300">
            <wp:extent cx="5267325" cy="2174875"/>
            <wp:effectExtent l="0" t="0" r="9525" b="15875"/>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2"/>
                    <a:stretch>
                      <a:fillRect/>
                    </a:stretch>
                  </pic:blipFill>
                  <pic:spPr>
                    <a:xfrm>
                      <a:off x="0" y="0"/>
                      <a:ext cx="5267325" cy="2174875"/>
                    </a:xfrm>
                    <a:prstGeom prst="rect">
                      <a:avLst/>
                    </a:prstGeom>
                    <a:noFill/>
                    <a:ln w="9525">
                      <a:noFill/>
                    </a:ln>
                  </pic:spPr>
                </pic:pic>
              </a:graphicData>
            </a:graphic>
          </wp:inline>
        </w:drawing>
      </w:r>
      <w:r>
        <w:rPr>
          <w:rFonts w:hint="eastAsia" w:ascii="仿宋_GB2312" w:hAnsi="仿宋_GB2312" w:eastAsia="仿宋_GB2312" w:cs="仿宋_GB2312"/>
          <w:sz w:val="32"/>
          <w:szCs w:val="32"/>
        </w:rPr>
        <w:t>　　</w:t>
      </w:r>
    </w:p>
    <w:p>
      <w:pPr>
        <w:ind w:left="0" w:leftChars="0" w:firstLine="420" w:firstLineChars="200"/>
      </w:pPr>
      <w:r>
        <w:drawing>
          <wp:inline distT="0" distB="0" distL="114300" distR="114300">
            <wp:extent cx="5269230" cy="2105660"/>
            <wp:effectExtent l="0" t="0" r="7620" b="889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3"/>
                    <a:stretch>
                      <a:fillRect/>
                    </a:stretch>
                  </pic:blipFill>
                  <pic:spPr>
                    <a:xfrm>
                      <a:off x="0" y="0"/>
                      <a:ext cx="5269230" cy="2105660"/>
                    </a:xfrm>
                    <a:prstGeom prst="rect">
                      <a:avLst/>
                    </a:prstGeom>
                    <a:noFill/>
                    <a:ln w="9525">
                      <a:noFill/>
                    </a:ln>
                  </pic:spPr>
                </pic:pic>
              </a:graphicData>
            </a:graphic>
          </wp:inline>
        </w:drawing>
      </w:r>
    </w:p>
    <w:p>
      <w:pPr>
        <w:ind w:left="0" w:leftChars="0" w:firstLine="640" w:firstLineChars="200"/>
        <w:rPr>
          <w:rFonts w:hint="eastAsia" w:ascii="仿宋_GB2312" w:hAnsi="仿宋_GB2312" w:eastAsia="仿宋_GB2312" w:cs="仿宋_GB2312"/>
          <w:sz w:val="32"/>
          <w:szCs w:val="32"/>
        </w:rPr>
      </w:pPr>
    </w:p>
    <w:p>
      <w:pPr>
        <w:ind w:left="0" w:leftChars="0"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（三）主动公开机构设置和领导信息。</w:t>
      </w:r>
    </w:p>
    <w:p>
      <w:pPr>
        <w:ind w:left="0" w:leftChars="0" w:firstLine="420" w:firstLineChars="200"/>
        <w:rPr>
          <w:rFonts w:hint="eastAsia" w:ascii="仿宋_GB2312" w:hAnsi="仿宋_GB2312" w:eastAsia="仿宋_GB2312" w:cs="仿宋_GB2312"/>
          <w:sz w:val="32"/>
          <w:szCs w:val="32"/>
          <w:lang w:eastAsia="zh-CN"/>
        </w:rPr>
      </w:pPr>
      <w:r>
        <w:drawing>
          <wp:inline distT="0" distB="0" distL="114300" distR="114300">
            <wp:extent cx="5270500" cy="1752600"/>
            <wp:effectExtent l="0" t="0" r="6350" b="0"/>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14"/>
                    <a:stretch>
                      <a:fillRect/>
                    </a:stretch>
                  </pic:blipFill>
                  <pic:spPr>
                    <a:xfrm>
                      <a:off x="0" y="0"/>
                      <a:ext cx="5270500" cy="1752600"/>
                    </a:xfrm>
                    <a:prstGeom prst="rect">
                      <a:avLst/>
                    </a:prstGeom>
                    <a:noFill/>
                    <a:ln w="9525">
                      <a:noFill/>
                    </a:ln>
                  </pic:spPr>
                </pic:pic>
              </a:graphicData>
            </a:graphic>
          </wp:inline>
        </w:drawing>
      </w:r>
    </w:p>
    <w:p>
      <w:pPr>
        <w:ind w:left="0" w:leftChars="0"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（四）主动公开人事任免信息。</w:t>
      </w:r>
    </w:p>
    <w:p>
      <w:pPr>
        <w:ind w:left="0" w:leftChars="0" w:firstLine="420" w:firstLineChars="200"/>
        <w:rPr>
          <w:rFonts w:hint="eastAsia" w:ascii="仿宋_GB2312" w:hAnsi="仿宋_GB2312" w:eastAsia="仿宋_GB2312" w:cs="仿宋_GB2312"/>
          <w:sz w:val="32"/>
          <w:szCs w:val="32"/>
          <w:lang w:eastAsia="zh-CN"/>
        </w:rPr>
      </w:pPr>
      <w:r>
        <w:drawing>
          <wp:inline distT="0" distB="0" distL="114300" distR="114300">
            <wp:extent cx="5272405" cy="3575685"/>
            <wp:effectExtent l="0" t="0" r="4445" b="5715"/>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pic:cNvPicPr>
                      <a:picLocks noChangeAspect="1"/>
                    </pic:cNvPicPr>
                  </pic:nvPicPr>
                  <pic:blipFill>
                    <a:blip r:embed="rId15"/>
                    <a:stretch>
                      <a:fillRect/>
                    </a:stretch>
                  </pic:blipFill>
                  <pic:spPr>
                    <a:xfrm>
                      <a:off x="0" y="0"/>
                      <a:ext cx="5272405" cy="3575685"/>
                    </a:xfrm>
                    <a:prstGeom prst="rect">
                      <a:avLst/>
                    </a:prstGeom>
                    <a:noFill/>
                    <a:ln w="9525">
                      <a:noFill/>
                    </a:ln>
                  </pic:spPr>
                </pic:pic>
              </a:graphicData>
            </a:graphic>
          </wp:inline>
        </w:drawing>
      </w:r>
    </w:p>
    <w:p>
      <w:pPr>
        <w:ind w:left="0" w:leftChars="0"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（五）主动公开法律法规、政策文件及解读。</w:t>
      </w:r>
    </w:p>
    <w:p>
      <w:pPr>
        <w:ind w:left="0" w:leftChars="0" w:firstLine="420" w:firstLineChars="200"/>
      </w:pPr>
      <w:r>
        <w:drawing>
          <wp:inline distT="0" distB="0" distL="114300" distR="114300">
            <wp:extent cx="5265420" cy="1463675"/>
            <wp:effectExtent l="0" t="0" r="11430" b="3175"/>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16"/>
                    <a:stretch>
                      <a:fillRect/>
                    </a:stretch>
                  </pic:blipFill>
                  <pic:spPr>
                    <a:xfrm>
                      <a:off x="0" y="0"/>
                      <a:ext cx="5265420" cy="1463675"/>
                    </a:xfrm>
                    <a:prstGeom prst="rect">
                      <a:avLst/>
                    </a:prstGeom>
                    <a:noFill/>
                    <a:ln w="9525">
                      <a:noFill/>
                    </a:ln>
                  </pic:spPr>
                </pic:pic>
              </a:graphicData>
            </a:graphic>
          </wp:inline>
        </w:drawing>
      </w:r>
    </w:p>
    <w:p>
      <w:pPr>
        <w:ind w:left="0" w:leftChars="0" w:firstLine="420" w:firstLineChars="200"/>
        <w:rPr>
          <w:rFonts w:hint="eastAsia"/>
          <w:lang w:eastAsia="zh-CN"/>
        </w:rPr>
      </w:pPr>
      <w:r>
        <w:drawing>
          <wp:inline distT="0" distB="0" distL="114300" distR="114300">
            <wp:extent cx="5274310" cy="1461135"/>
            <wp:effectExtent l="0" t="0" r="2540" b="5715"/>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pic:cNvPicPr>
                      <a:picLocks noChangeAspect="1"/>
                    </pic:cNvPicPr>
                  </pic:nvPicPr>
                  <pic:blipFill>
                    <a:blip r:embed="rId17"/>
                    <a:stretch>
                      <a:fillRect/>
                    </a:stretch>
                  </pic:blipFill>
                  <pic:spPr>
                    <a:xfrm>
                      <a:off x="0" y="0"/>
                      <a:ext cx="5274310" cy="1461135"/>
                    </a:xfrm>
                    <a:prstGeom prst="rect">
                      <a:avLst/>
                    </a:prstGeom>
                    <a:noFill/>
                    <a:ln w="9525">
                      <a:noFill/>
                    </a:ln>
                  </pic:spPr>
                </pic:pic>
              </a:graphicData>
            </a:graphic>
          </wp:inline>
        </w:drawing>
      </w:r>
    </w:p>
    <w:p>
      <w:pPr>
        <w:ind w:left="0" w:leftChars="0"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（六）主动公开工作规划信息。</w:t>
      </w:r>
    </w:p>
    <w:p>
      <w:pPr>
        <w:ind w:left="0" w:leftChars="0" w:firstLine="420" w:firstLineChars="200"/>
      </w:pPr>
      <w:r>
        <w:drawing>
          <wp:inline distT="0" distB="0" distL="114300" distR="114300">
            <wp:extent cx="5273040" cy="866140"/>
            <wp:effectExtent l="0" t="0" r="3810" b="1016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18"/>
                    <a:stretch>
                      <a:fillRect/>
                    </a:stretch>
                  </pic:blipFill>
                  <pic:spPr>
                    <a:xfrm>
                      <a:off x="0" y="0"/>
                      <a:ext cx="5273040" cy="866140"/>
                    </a:xfrm>
                    <a:prstGeom prst="rect">
                      <a:avLst/>
                    </a:prstGeom>
                    <a:noFill/>
                    <a:ln w="9525">
                      <a:noFill/>
                    </a:ln>
                  </pic:spPr>
                </pic:pic>
              </a:graphicData>
            </a:graphic>
          </wp:inline>
        </w:drawing>
      </w:r>
    </w:p>
    <w:p>
      <w:pPr>
        <w:ind w:left="0" w:leftChars="0" w:firstLine="420" w:firstLineChars="200"/>
      </w:pPr>
    </w:p>
    <w:p>
      <w:pPr>
        <w:ind w:firstLine="640" w:firstLineChars="200"/>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（七）主动公开建议提案办理信息。</w:t>
      </w:r>
    </w:p>
    <w:p>
      <w:pPr>
        <w:ind w:firstLine="420" w:firstLineChars="200"/>
        <w:rPr>
          <w:rFonts w:hint="eastAsia" w:ascii="仿宋_GB2312" w:hAnsi="仿宋_GB2312" w:eastAsia="仿宋_GB2312" w:cs="仿宋_GB2312"/>
          <w:sz w:val="32"/>
          <w:szCs w:val="32"/>
          <w:lang w:eastAsia="zh-CN"/>
        </w:rPr>
      </w:pPr>
      <w:r>
        <w:drawing>
          <wp:inline distT="0" distB="0" distL="114300" distR="114300">
            <wp:extent cx="5269230" cy="1793875"/>
            <wp:effectExtent l="0" t="0" r="7620" b="15875"/>
            <wp:docPr id="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pic:cNvPicPr>
                      <a:picLocks noChangeAspect="1"/>
                    </pic:cNvPicPr>
                  </pic:nvPicPr>
                  <pic:blipFill>
                    <a:blip r:embed="rId19"/>
                    <a:stretch>
                      <a:fillRect/>
                    </a:stretch>
                  </pic:blipFill>
                  <pic:spPr>
                    <a:xfrm>
                      <a:off x="0" y="0"/>
                      <a:ext cx="5269230" cy="1793875"/>
                    </a:xfrm>
                    <a:prstGeom prst="rect">
                      <a:avLst/>
                    </a:prstGeom>
                    <a:noFill/>
                    <a:ln w="9525">
                      <a:noFill/>
                    </a:ln>
                  </pic:spPr>
                </pic:pic>
              </a:graphicData>
            </a:graphic>
          </wp:inline>
        </w:drawing>
      </w:r>
    </w:p>
    <w:p>
      <w:pPr>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（八）主动公开重要业务工作的公示和征求意见建议信息。</w:t>
      </w:r>
    </w:p>
    <w:p>
      <w:pPr>
        <w:ind w:firstLine="420" w:firstLineChars="200"/>
      </w:pPr>
      <w:r>
        <w:drawing>
          <wp:inline distT="0" distB="0" distL="114300" distR="114300">
            <wp:extent cx="5267960" cy="635635"/>
            <wp:effectExtent l="0" t="0" r="8890" b="12065"/>
            <wp:docPr id="2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6"/>
                    <pic:cNvPicPr>
                      <a:picLocks noChangeAspect="1"/>
                    </pic:cNvPicPr>
                  </pic:nvPicPr>
                  <pic:blipFill>
                    <a:blip r:embed="rId20"/>
                    <a:stretch>
                      <a:fillRect/>
                    </a:stretch>
                  </pic:blipFill>
                  <pic:spPr>
                    <a:xfrm>
                      <a:off x="0" y="0"/>
                      <a:ext cx="5267960" cy="635635"/>
                    </a:xfrm>
                    <a:prstGeom prst="rect">
                      <a:avLst/>
                    </a:prstGeom>
                    <a:noFill/>
                    <a:ln w="9525">
                      <a:noFill/>
                    </a:ln>
                  </pic:spPr>
                </pic:pic>
              </a:graphicData>
            </a:graphic>
          </wp:inline>
        </w:drawing>
      </w:r>
    </w:p>
    <w:p>
      <w:pPr>
        <w:ind w:firstLine="420" w:firstLineChars="200"/>
      </w:pPr>
    </w:p>
    <w:p>
      <w:pPr>
        <w:ind w:firstLine="420" w:firstLineChars="200"/>
        <w:rPr>
          <w:rFonts w:hint="eastAsia"/>
          <w:lang w:eastAsia="zh-CN"/>
        </w:rPr>
      </w:pPr>
      <w:r>
        <w:drawing>
          <wp:inline distT="0" distB="0" distL="114300" distR="114300">
            <wp:extent cx="5273040" cy="3679825"/>
            <wp:effectExtent l="0" t="0" r="3810" b="15875"/>
            <wp:docPr id="2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7"/>
                    <pic:cNvPicPr>
                      <a:picLocks noChangeAspect="1"/>
                    </pic:cNvPicPr>
                  </pic:nvPicPr>
                  <pic:blipFill>
                    <a:blip r:embed="rId21"/>
                    <a:stretch>
                      <a:fillRect/>
                    </a:stretch>
                  </pic:blipFill>
                  <pic:spPr>
                    <a:xfrm>
                      <a:off x="0" y="0"/>
                      <a:ext cx="5273040" cy="3679825"/>
                    </a:xfrm>
                    <a:prstGeom prst="rect">
                      <a:avLst/>
                    </a:prstGeom>
                    <a:noFill/>
                    <a:ln w="9525">
                      <a:noFill/>
                    </a:ln>
                  </pic:spPr>
                </pic:pic>
              </a:graphicData>
            </a:graphic>
          </wp:inline>
        </w:drawing>
      </w:r>
    </w:p>
    <w:p>
      <w:pPr>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（九）主动公开工作动态信息。</w:t>
      </w:r>
    </w:p>
    <w:p>
      <w:pPr>
        <w:ind w:firstLine="420" w:firstLineChars="200"/>
      </w:pPr>
      <w:r>
        <w:drawing>
          <wp:inline distT="0" distB="0" distL="114300" distR="114300">
            <wp:extent cx="5270500" cy="3045460"/>
            <wp:effectExtent l="0" t="0" r="6350" b="2540"/>
            <wp:docPr id="2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4"/>
                    <pic:cNvPicPr>
                      <a:picLocks noChangeAspect="1"/>
                    </pic:cNvPicPr>
                  </pic:nvPicPr>
                  <pic:blipFill>
                    <a:blip r:embed="rId22"/>
                    <a:stretch>
                      <a:fillRect/>
                    </a:stretch>
                  </pic:blipFill>
                  <pic:spPr>
                    <a:xfrm>
                      <a:off x="0" y="0"/>
                      <a:ext cx="5270500" cy="3045460"/>
                    </a:xfrm>
                    <a:prstGeom prst="rect">
                      <a:avLst/>
                    </a:prstGeom>
                    <a:noFill/>
                    <a:ln w="9525">
                      <a:noFill/>
                    </a:ln>
                  </pic:spPr>
                </pic:pic>
              </a:graphicData>
            </a:graphic>
          </wp:inline>
        </w:drawing>
      </w:r>
    </w:p>
    <w:p>
      <w:pPr>
        <w:ind w:firstLine="420" w:firstLineChars="200"/>
      </w:pPr>
    </w:p>
    <w:p>
      <w:pPr>
        <w:ind w:firstLine="420" w:firstLineChars="200"/>
      </w:pPr>
      <w:r>
        <w:drawing>
          <wp:inline distT="0" distB="0" distL="114300" distR="114300">
            <wp:extent cx="5270500" cy="3555365"/>
            <wp:effectExtent l="0" t="0" r="6350" b="6985"/>
            <wp:docPr id="2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5"/>
                    <pic:cNvPicPr>
                      <a:picLocks noChangeAspect="1"/>
                    </pic:cNvPicPr>
                  </pic:nvPicPr>
                  <pic:blipFill>
                    <a:blip r:embed="rId23"/>
                    <a:stretch>
                      <a:fillRect/>
                    </a:stretch>
                  </pic:blipFill>
                  <pic:spPr>
                    <a:xfrm>
                      <a:off x="0" y="0"/>
                      <a:ext cx="5270500" cy="3555365"/>
                    </a:xfrm>
                    <a:prstGeom prst="rect">
                      <a:avLst/>
                    </a:prstGeom>
                    <a:noFill/>
                    <a:ln w="9525">
                      <a:noFill/>
                    </a:ln>
                  </pic:spPr>
                </pic:pic>
              </a:graphicData>
            </a:graphic>
          </wp:inline>
        </w:drawing>
      </w:r>
    </w:p>
    <w:p>
      <w:pPr>
        <w:ind w:firstLine="420" w:firstLineChars="200"/>
      </w:pPr>
    </w:p>
    <w:p>
      <w:pPr>
        <w:ind w:firstLine="640" w:firstLineChars="200"/>
        <w:rPr>
          <w:rFonts w:hint="eastAsia" w:ascii="楷体_GB2312" w:hAnsi="楷体_GB2312" w:eastAsia="楷体_GB2312" w:cs="楷体_GB2312"/>
          <w:sz w:val="32"/>
          <w:lang w:eastAsia="zh-CN"/>
        </w:rPr>
      </w:pPr>
      <w:r>
        <w:rPr>
          <w:rFonts w:hint="eastAsia" w:ascii="楷体_GB2312" w:hAnsi="楷体_GB2312" w:eastAsia="楷体_GB2312" w:cs="楷体_GB2312"/>
          <w:sz w:val="32"/>
          <w:lang w:eastAsia="zh-CN"/>
        </w:rPr>
        <w:t>（十）落实新闻发布制度，回应社会关切，加强与网友的互动交流。</w:t>
      </w:r>
    </w:p>
    <w:p>
      <w:pPr>
        <w:ind w:firstLine="643" w:firstLineChars="200"/>
        <w:rPr>
          <w:rFonts w:hint="eastAsia" w:eastAsia="仿宋_GB2312"/>
          <w:sz w:val="32"/>
          <w:lang w:eastAsia="zh-CN"/>
        </w:rPr>
      </w:pPr>
      <w:r>
        <w:rPr>
          <w:rFonts w:hint="eastAsia" w:eastAsia="仿宋_GB2312"/>
          <w:b/>
          <w:bCs/>
          <w:sz w:val="32"/>
          <w:lang w:val="en-US" w:eastAsia="zh-CN"/>
        </w:rPr>
        <w:t>1、新闻发布。</w:t>
      </w:r>
      <w:r>
        <w:rPr>
          <w:rFonts w:hint="eastAsia" w:ascii="仿宋_GB2312" w:hAnsi="仿宋_GB2312" w:eastAsia="仿宋_GB2312" w:cs="仿宋_GB2312"/>
          <w:sz w:val="32"/>
          <w:lang w:val="en-US" w:eastAsia="zh-CN"/>
        </w:rPr>
        <w:t>2017年</w:t>
      </w:r>
      <w:r>
        <w:rPr>
          <w:rFonts w:hint="eastAsia" w:ascii="仿宋_GB2312" w:hAnsi="仿宋_GB2312" w:eastAsia="仿宋_GB2312" w:cs="仿宋_GB2312"/>
          <w:sz w:val="32"/>
          <w:lang w:eastAsia="zh-CN"/>
        </w:rPr>
        <w:t>9月5日上午</w:t>
      </w:r>
      <w:r>
        <w:rPr>
          <w:rFonts w:hint="eastAsia" w:eastAsia="仿宋_GB2312"/>
          <w:sz w:val="32"/>
          <w:lang w:eastAsia="zh-CN"/>
        </w:rPr>
        <w:t>，省政府新闻办在济南举行新闻发布会，邀请省民委主任马传凯和副主任马辉，分别发布了十八大以来我省民族团结进步事业取得的成绩和全省民族团结进步宣传月活动相关情况。</w:t>
      </w:r>
    </w:p>
    <w:p>
      <w:pPr>
        <w:ind w:firstLine="420" w:firstLineChars="200"/>
      </w:pPr>
      <w:r>
        <w:drawing>
          <wp:inline distT="0" distB="0" distL="114300" distR="114300">
            <wp:extent cx="5266690" cy="2767965"/>
            <wp:effectExtent l="0" t="0" r="10160" b="13335"/>
            <wp:docPr id="2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8"/>
                    <pic:cNvPicPr>
                      <a:picLocks noChangeAspect="1"/>
                    </pic:cNvPicPr>
                  </pic:nvPicPr>
                  <pic:blipFill>
                    <a:blip r:embed="rId24"/>
                    <a:stretch>
                      <a:fillRect/>
                    </a:stretch>
                  </pic:blipFill>
                  <pic:spPr>
                    <a:xfrm>
                      <a:off x="0" y="0"/>
                      <a:ext cx="5266690" cy="2767965"/>
                    </a:xfrm>
                    <a:prstGeom prst="rect">
                      <a:avLst/>
                    </a:prstGeom>
                    <a:noFill/>
                    <a:ln w="9525">
                      <a:noFill/>
                    </a:ln>
                  </pic:spPr>
                </pic:pic>
              </a:graphicData>
            </a:graphic>
          </wp:inline>
        </w:drawing>
      </w:r>
    </w:p>
    <w:p>
      <w:pPr>
        <w:ind w:firstLine="420" w:firstLineChars="200"/>
      </w:pPr>
      <w:r>
        <w:drawing>
          <wp:inline distT="0" distB="0" distL="114300" distR="114300">
            <wp:extent cx="5269230" cy="2746375"/>
            <wp:effectExtent l="0" t="0" r="7620" b="15875"/>
            <wp:docPr id="2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9"/>
                    <pic:cNvPicPr>
                      <a:picLocks noChangeAspect="1"/>
                    </pic:cNvPicPr>
                  </pic:nvPicPr>
                  <pic:blipFill>
                    <a:blip r:embed="rId25"/>
                    <a:stretch>
                      <a:fillRect/>
                    </a:stretch>
                  </pic:blipFill>
                  <pic:spPr>
                    <a:xfrm>
                      <a:off x="0" y="0"/>
                      <a:ext cx="5269230" cy="2746375"/>
                    </a:xfrm>
                    <a:prstGeom prst="rect">
                      <a:avLst/>
                    </a:prstGeom>
                    <a:noFill/>
                    <a:ln w="9525">
                      <a:noFill/>
                    </a:ln>
                  </pic:spPr>
                </pic:pic>
              </a:graphicData>
            </a:graphic>
          </wp:inline>
        </w:drawing>
      </w:r>
    </w:p>
    <w:p>
      <w:pPr>
        <w:ind w:firstLine="420" w:firstLineChars="200"/>
        <w:rPr>
          <w:rFonts w:hint="eastAsia"/>
          <w:lang w:eastAsia="zh-CN"/>
        </w:rPr>
      </w:pPr>
    </w:p>
    <w:p>
      <w:pPr>
        <w:ind w:firstLine="643" w:firstLineChars="200"/>
        <w:rPr>
          <w:rFonts w:hint="eastAsia" w:eastAsia="仿宋_GB2312"/>
          <w:sz w:val="32"/>
        </w:rPr>
      </w:pPr>
      <w:r>
        <w:rPr>
          <w:rFonts w:hint="eastAsia" w:eastAsia="仿宋_GB2312"/>
          <w:b/>
          <w:bCs/>
          <w:sz w:val="32"/>
          <w:lang w:val="en-US" w:eastAsia="zh-CN"/>
        </w:rPr>
        <w:t>2、参加专访。</w:t>
      </w:r>
      <w:r>
        <w:rPr>
          <w:rFonts w:hint="eastAsia" w:eastAsia="仿宋_GB2312"/>
          <w:sz w:val="32"/>
        </w:rPr>
        <w:t>为深入贯彻党的十八大提出的“全面贯彻党的宗教工作基本方针，发挥宗教界人士和信教群众在经济社会发展中的积极作用”的要求以及国家六部委下发的《关于鼓励和规范宗教界从事公益慈善活动的意见》，省宗教事务局积极鼓励、支持和引导宗教界积极参与脱贫攻坚和社会公益慈善事业，自觉服务于经济文化强省建设，收到了显著效果。</w:t>
      </w:r>
      <w:r>
        <w:rPr>
          <w:rFonts w:hint="eastAsia" w:ascii="仿宋_GB2312" w:hAnsi="仿宋_GB2312" w:eastAsia="仿宋_GB2312" w:cs="仿宋_GB2312"/>
          <w:sz w:val="32"/>
          <w:lang w:val="en-US" w:eastAsia="zh-CN"/>
        </w:rPr>
        <w:t>2017年5月23日，</w:t>
      </w:r>
      <w:r>
        <w:rPr>
          <w:rFonts w:hint="eastAsia" w:ascii="仿宋_GB2312" w:hAnsi="仿宋_GB2312" w:eastAsia="仿宋_GB2312" w:cs="仿宋_GB2312"/>
          <w:sz w:val="32"/>
          <w:lang w:eastAsia="zh-CN"/>
        </w:rPr>
        <w:t>省</w:t>
      </w:r>
      <w:r>
        <w:rPr>
          <w:rFonts w:hint="eastAsia" w:eastAsia="仿宋_GB2312"/>
          <w:sz w:val="32"/>
          <w:lang w:eastAsia="zh-CN"/>
        </w:rPr>
        <w:t>政府网对</w:t>
      </w:r>
      <w:r>
        <w:rPr>
          <w:rFonts w:hint="eastAsia" w:eastAsia="仿宋_GB2312"/>
          <w:sz w:val="32"/>
          <w:lang w:val="en-US" w:eastAsia="zh-CN"/>
        </w:rPr>
        <w:t>省宗教局副局长岳富强进行</w:t>
      </w:r>
      <w:r>
        <w:rPr>
          <w:rFonts w:hint="eastAsia" w:eastAsia="仿宋_GB2312"/>
          <w:sz w:val="32"/>
          <w:lang w:eastAsia="zh-CN"/>
        </w:rPr>
        <w:t>专访，岳富强介绍了</w:t>
      </w:r>
      <w:r>
        <w:rPr>
          <w:rFonts w:hint="eastAsia" w:eastAsia="仿宋_GB2312"/>
          <w:sz w:val="32"/>
        </w:rPr>
        <w:t>我省宗教界开展公益慈善活动情况。</w:t>
      </w:r>
    </w:p>
    <w:p>
      <w:pPr>
        <w:ind w:firstLine="420" w:firstLineChars="200"/>
      </w:pPr>
      <w:r>
        <w:drawing>
          <wp:inline distT="0" distB="0" distL="114300" distR="114300">
            <wp:extent cx="5272405" cy="3273425"/>
            <wp:effectExtent l="0" t="0" r="4445" b="317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6"/>
                    <a:stretch>
                      <a:fillRect/>
                    </a:stretch>
                  </pic:blipFill>
                  <pic:spPr>
                    <a:xfrm>
                      <a:off x="0" y="0"/>
                      <a:ext cx="5272405" cy="3273425"/>
                    </a:xfrm>
                    <a:prstGeom prst="rect">
                      <a:avLst/>
                    </a:prstGeom>
                    <a:noFill/>
                    <a:ln w="9525">
                      <a:noFill/>
                    </a:ln>
                  </pic:spPr>
                </pic:pic>
              </a:graphicData>
            </a:graphic>
          </wp:inline>
        </w:drawing>
      </w:r>
    </w:p>
    <w:p>
      <w:pPr>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3、认真做好网络渠道信访咨询工作。</w:t>
      </w:r>
      <w:r>
        <w:rPr>
          <w:rFonts w:hint="eastAsia" w:ascii="仿宋_GB2312" w:hAnsi="仿宋_GB2312" w:eastAsia="仿宋_GB2312" w:cs="仿宋_GB2312"/>
          <w:sz w:val="32"/>
          <w:szCs w:val="32"/>
          <w:lang w:val="en-US" w:eastAsia="zh-CN"/>
        </w:rPr>
        <w:t>2017年通过省级政务服务办事咨询系统受理群众咨询2件，通过委门户网站收到投诉咨询30多件，对其中的18件有效件进行了受理并答复。对齐鲁民声网收到的1件不属我委职责范围的咨询件及时进行了退回或移交。</w:t>
      </w:r>
    </w:p>
    <w:p>
      <w:pPr>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（十一）推进政务信息资源数据共享、开放。</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共梳理政务信息资源目录156条、信息项657项。对可开放、可共享的信息资源通过“山东省政务信息资源共享交换平台”、“山东信息资源共享网”进行了录入、开放、共享。</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二</w:t>
      </w:r>
      <w:r>
        <w:rPr>
          <w:rFonts w:hint="eastAsia" w:ascii="黑体" w:hAnsi="黑体" w:eastAsia="黑体" w:cs="黑体"/>
          <w:sz w:val="32"/>
          <w:szCs w:val="32"/>
          <w:lang w:eastAsia="zh-CN"/>
        </w:rPr>
        <w:t>、</w:t>
      </w:r>
      <w:r>
        <w:rPr>
          <w:rFonts w:hint="eastAsia" w:ascii="黑体" w:hAnsi="黑体" w:eastAsia="黑体" w:cs="黑体"/>
          <w:sz w:val="32"/>
          <w:szCs w:val="32"/>
        </w:rPr>
        <w:t>行政机关依申请公开政府信息和不予公开政府信息的情况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我委高度重视并按照有关规定认真做好依申请政府信息公开工作。2017年，收到政府信息公开申请2件，其中信函1件、网上申请1件，均依法受理，并根据有关规定和申请人要求向申请人进行了公开。 </w:t>
      </w:r>
    </w:p>
    <w:p>
      <w:pPr>
        <w:ind w:left="0" w:leftChars="0" w:firstLine="640" w:firstLineChars="200"/>
        <w:rPr>
          <w:rFonts w:hint="eastAsia" w:ascii="黑体" w:hAnsi="黑体" w:eastAsia="黑体" w:cs="黑体"/>
          <w:sz w:val="32"/>
          <w:szCs w:val="32"/>
        </w:rPr>
      </w:pPr>
      <w:r>
        <w:rPr>
          <w:rFonts w:hint="eastAsia" w:ascii="黑体" w:hAnsi="黑体" w:eastAsia="黑体" w:cs="黑体"/>
          <w:sz w:val="32"/>
          <w:szCs w:val="32"/>
        </w:rPr>
        <w:t>三</w:t>
      </w:r>
      <w:r>
        <w:rPr>
          <w:rFonts w:hint="eastAsia" w:ascii="黑体" w:hAnsi="黑体" w:eastAsia="黑体" w:cs="黑体"/>
          <w:sz w:val="32"/>
          <w:szCs w:val="32"/>
          <w:lang w:eastAsia="zh-CN"/>
        </w:rPr>
        <w:t>、</w:t>
      </w:r>
      <w:r>
        <w:rPr>
          <w:rFonts w:hint="eastAsia" w:ascii="黑体" w:hAnsi="黑体" w:eastAsia="黑体" w:cs="黑体"/>
          <w:sz w:val="32"/>
          <w:szCs w:val="32"/>
        </w:rPr>
        <w:t>政府信息公开的收费及减免情况</w:t>
      </w:r>
    </w:p>
    <w:p>
      <w:p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2017年，未发生政府信息公开收费及减免情况。</w:t>
      </w:r>
    </w:p>
    <w:p>
      <w:pPr>
        <w:ind w:left="0" w:leftChars="0" w:firstLine="640" w:firstLineChars="200"/>
        <w:rPr>
          <w:rFonts w:hint="eastAsia" w:ascii="黑体" w:hAnsi="黑体" w:eastAsia="黑体" w:cs="黑体"/>
          <w:sz w:val="32"/>
          <w:szCs w:val="32"/>
        </w:rPr>
      </w:pPr>
      <w:r>
        <w:rPr>
          <w:rFonts w:hint="eastAsia" w:ascii="黑体" w:hAnsi="黑体" w:eastAsia="黑体" w:cs="黑体"/>
          <w:sz w:val="32"/>
          <w:szCs w:val="32"/>
        </w:rPr>
        <w:t>四</w:t>
      </w:r>
      <w:r>
        <w:rPr>
          <w:rFonts w:hint="eastAsia" w:ascii="黑体" w:hAnsi="黑体" w:eastAsia="黑体" w:cs="黑体"/>
          <w:sz w:val="32"/>
          <w:szCs w:val="32"/>
          <w:lang w:eastAsia="zh-CN"/>
        </w:rPr>
        <w:t>、</w:t>
      </w:r>
      <w:r>
        <w:rPr>
          <w:rFonts w:hint="eastAsia" w:ascii="黑体" w:hAnsi="黑体" w:eastAsia="黑体" w:cs="黑体"/>
          <w:sz w:val="32"/>
          <w:szCs w:val="32"/>
        </w:rPr>
        <w:t>因政府信息公开申请行政复议、提起行政诉讼的情况</w:t>
      </w:r>
    </w:p>
    <w:p>
      <w:p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2017年，未发生</w:t>
      </w:r>
      <w:r>
        <w:rPr>
          <w:rFonts w:hint="eastAsia" w:ascii="仿宋_GB2312" w:hAnsi="仿宋_GB2312" w:eastAsia="仿宋_GB2312" w:cs="仿宋_GB2312"/>
          <w:sz w:val="32"/>
          <w:szCs w:val="32"/>
        </w:rPr>
        <w:t>因政府信息公开申请行政复议、提起行政诉讼的情况</w:t>
      </w:r>
      <w:r>
        <w:rPr>
          <w:rFonts w:hint="eastAsia" w:ascii="仿宋_GB2312" w:hAnsi="仿宋_GB2312" w:eastAsia="仿宋_GB2312" w:cs="仿宋_GB2312"/>
          <w:sz w:val="32"/>
          <w:szCs w:val="32"/>
          <w:lang w:eastAsia="zh-CN"/>
        </w:rPr>
        <w:t>。</w:t>
      </w:r>
    </w:p>
    <w:p>
      <w:pPr>
        <w:ind w:left="0" w:leftChars="0" w:firstLine="640" w:firstLineChars="200"/>
        <w:rPr>
          <w:rFonts w:hint="eastAsia" w:ascii="黑体" w:hAnsi="黑体" w:eastAsia="黑体" w:cs="黑体"/>
          <w:sz w:val="32"/>
          <w:szCs w:val="32"/>
        </w:rPr>
      </w:pPr>
      <w:r>
        <w:rPr>
          <w:rFonts w:hint="eastAsia" w:ascii="黑体" w:hAnsi="黑体" w:eastAsia="黑体" w:cs="黑体"/>
          <w:sz w:val="32"/>
          <w:szCs w:val="32"/>
        </w:rPr>
        <w:t>五</w:t>
      </w:r>
      <w:r>
        <w:rPr>
          <w:rFonts w:hint="eastAsia" w:ascii="黑体" w:hAnsi="黑体" w:eastAsia="黑体" w:cs="黑体"/>
          <w:sz w:val="32"/>
          <w:szCs w:val="32"/>
          <w:lang w:eastAsia="zh-CN"/>
        </w:rPr>
        <w:t>、</w:t>
      </w:r>
      <w:r>
        <w:rPr>
          <w:rFonts w:hint="eastAsia" w:ascii="黑体" w:hAnsi="黑体" w:eastAsia="黑体" w:cs="黑体"/>
          <w:sz w:val="32"/>
          <w:szCs w:val="32"/>
        </w:rPr>
        <w:t>政府信息公开工作存在的主要问题及改进情况</w:t>
      </w:r>
    </w:p>
    <w:p>
      <w:pPr>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年，我委（局）在政府信息公开工作方面做了大量工作，</w:t>
      </w:r>
      <w:r>
        <w:rPr>
          <w:rFonts w:hint="eastAsia" w:ascii="仿宋_GB2312" w:hAnsi="仿宋_GB2312" w:eastAsia="仿宋_GB2312" w:cs="仿宋_GB2312"/>
          <w:sz w:val="32"/>
          <w:szCs w:val="32"/>
          <w:lang w:eastAsia="zh-CN"/>
        </w:rPr>
        <w:t>取得了明显成效，</w:t>
      </w:r>
      <w:r>
        <w:rPr>
          <w:rFonts w:hint="eastAsia" w:ascii="仿宋_GB2312" w:hAnsi="仿宋_GB2312" w:eastAsia="仿宋_GB2312" w:cs="仿宋_GB2312"/>
          <w:sz w:val="32"/>
          <w:szCs w:val="32"/>
        </w:rPr>
        <w:t>但仍存在</w:t>
      </w:r>
      <w:r>
        <w:rPr>
          <w:rFonts w:hint="eastAsia" w:ascii="仿宋_GB2312" w:hAnsi="仿宋_GB2312" w:eastAsia="仿宋_GB2312" w:cs="仿宋_GB2312"/>
          <w:sz w:val="32"/>
          <w:szCs w:val="32"/>
          <w:lang w:eastAsia="zh-CN"/>
        </w:rPr>
        <w:t>业务处室</w:t>
      </w:r>
      <w:r>
        <w:rPr>
          <w:rFonts w:hint="eastAsia" w:ascii="仿宋_GB2312" w:hAnsi="仿宋_GB2312" w:eastAsia="仿宋_GB2312" w:cs="仿宋_GB2312"/>
          <w:sz w:val="32"/>
          <w:szCs w:val="32"/>
        </w:rPr>
        <w:t>依法公开、主动公开意识有待进一步加强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主动公开的深度还有待进一步拓展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信息公开渠道还有待进一步完善</w:t>
      </w:r>
      <w:r>
        <w:rPr>
          <w:rFonts w:hint="eastAsia" w:ascii="仿宋_GB2312" w:hAnsi="仿宋_GB2312" w:eastAsia="仿宋_GB2312" w:cs="仿宋_GB2312"/>
          <w:sz w:val="32"/>
          <w:szCs w:val="32"/>
          <w:lang w:eastAsia="zh-CN"/>
        </w:rPr>
        <w:t>，预公开等</w:t>
      </w:r>
      <w:r>
        <w:rPr>
          <w:rFonts w:hint="eastAsia" w:ascii="仿宋_GB2312" w:hAnsi="仿宋_GB2312" w:eastAsia="仿宋_GB2312" w:cs="仿宋_GB2312"/>
          <w:sz w:val="32"/>
          <w:szCs w:val="32"/>
        </w:rPr>
        <w:t>制度</w:t>
      </w:r>
      <w:r>
        <w:rPr>
          <w:rFonts w:hint="eastAsia" w:ascii="仿宋_GB2312" w:hAnsi="仿宋_GB2312" w:eastAsia="仿宋_GB2312" w:cs="仿宋_GB2312"/>
          <w:sz w:val="32"/>
          <w:szCs w:val="32"/>
          <w:lang w:eastAsia="zh-CN"/>
        </w:rPr>
        <w:t>落实不够到位，</w:t>
      </w:r>
      <w:r>
        <w:rPr>
          <w:rFonts w:hint="eastAsia" w:ascii="仿宋_GB2312" w:hAnsi="仿宋_GB2312" w:eastAsia="仿宋_GB2312" w:cs="仿宋_GB2312"/>
          <w:sz w:val="32"/>
          <w:szCs w:val="32"/>
        </w:rPr>
        <w:t>信息公开业务培训不够深入</w:t>
      </w:r>
      <w:r>
        <w:rPr>
          <w:rFonts w:hint="eastAsia" w:ascii="仿宋_GB2312" w:hAnsi="仿宋_GB2312" w:eastAsia="仿宋_GB2312" w:cs="仿宋_GB2312"/>
          <w:sz w:val="32"/>
          <w:szCs w:val="32"/>
          <w:lang w:eastAsia="zh-CN"/>
        </w:rPr>
        <w:t>，鉴于民族宗教工作敏感性与公众的互动还不够</w:t>
      </w:r>
      <w:r>
        <w:rPr>
          <w:rFonts w:hint="eastAsia" w:ascii="仿宋_GB2312" w:hAnsi="仿宋_GB2312" w:eastAsia="仿宋_GB2312" w:cs="仿宋_GB2312"/>
          <w:sz w:val="32"/>
          <w:szCs w:val="32"/>
        </w:rPr>
        <w:t>等问题。</w:t>
      </w:r>
    </w:p>
    <w:p>
      <w:pPr>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下一步，省民委将</w:t>
      </w:r>
      <w:r>
        <w:rPr>
          <w:rFonts w:hint="eastAsia" w:ascii="仿宋_GB2312" w:hAnsi="仿宋_GB2312" w:eastAsia="仿宋_GB2312" w:cs="仿宋_GB2312"/>
          <w:sz w:val="32"/>
          <w:szCs w:val="32"/>
          <w:lang w:eastAsia="zh-CN"/>
        </w:rPr>
        <w:t>进一步</w:t>
      </w:r>
      <w:r>
        <w:rPr>
          <w:rFonts w:hint="eastAsia" w:ascii="仿宋_GB2312" w:hAnsi="仿宋_GB2312" w:eastAsia="仿宋_GB2312" w:cs="仿宋_GB2312"/>
          <w:sz w:val="32"/>
          <w:szCs w:val="32"/>
        </w:rPr>
        <w:t>转变职能、改进作风，简政放权，加强依法行政，主动作为，积极推进决策公开、执行公开、管理公开、服务公开、结果公开，更好地发挥政府信息对群众生产、生活、科研等指导和服务作用。要进一步加强和深化政府信息公开工作，在强化信息的时效性和工作规范化等方面下功夫，在不断拓展政府信息公开的宽度和广度的同时，进一步规范政府信息公开的程序。一是</w:t>
      </w:r>
      <w:r>
        <w:rPr>
          <w:rFonts w:hint="eastAsia" w:ascii="仿宋_GB2312" w:hAnsi="仿宋_GB2312" w:eastAsia="仿宋_GB2312" w:cs="仿宋_GB2312"/>
          <w:sz w:val="32"/>
          <w:szCs w:val="32"/>
          <w:lang w:eastAsia="zh-CN"/>
        </w:rPr>
        <w:t>围绕中心工作，</w:t>
      </w:r>
      <w:r>
        <w:rPr>
          <w:rFonts w:hint="eastAsia" w:ascii="仿宋_GB2312" w:hAnsi="仿宋_GB2312" w:eastAsia="仿宋_GB2312" w:cs="仿宋_GB2312"/>
          <w:sz w:val="32"/>
          <w:szCs w:val="32"/>
        </w:rPr>
        <w:t>进一步加强事关群众切身利益的民族宗教日常业务</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公众普遍关注的热点难点问题</w:t>
      </w:r>
      <w:r>
        <w:rPr>
          <w:rFonts w:hint="eastAsia" w:ascii="仿宋_GB2312" w:hAnsi="仿宋_GB2312" w:eastAsia="仿宋_GB2312" w:cs="仿宋_GB2312"/>
          <w:sz w:val="32"/>
          <w:szCs w:val="32"/>
          <w:lang w:eastAsia="zh-CN"/>
        </w:rPr>
        <w:t>的公开</w:t>
      </w:r>
      <w:r>
        <w:rPr>
          <w:rFonts w:hint="eastAsia" w:ascii="仿宋_GB2312" w:hAnsi="仿宋_GB2312" w:eastAsia="仿宋_GB2312" w:cs="仿宋_GB2312"/>
          <w:sz w:val="32"/>
          <w:szCs w:val="32"/>
        </w:rPr>
        <w:t>。二是进一步健全完善政府信息公开制度。三是进一步丰富政府信息公开内容。四是进一步拓宽政府信息公开渠道。五是进一步加强政府信息公开业务学习培训。</w:t>
      </w:r>
    </w:p>
    <w:p>
      <w:pPr>
        <w:ind w:left="0" w:leftChars="0" w:firstLine="640" w:firstLineChars="200"/>
        <w:rPr>
          <w:rFonts w:hint="eastAsia" w:ascii="黑体" w:hAnsi="黑体" w:eastAsia="黑体" w:cs="黑体"/>
          <w:sz w:val="32"/>
          <w:szCs w:val="32"/>
        </w:rPr>
      </w:pPr>
      <w:r>
        <w:rPr>
          <w:rFonts w:hint="eastAsia" w:ascii="黑体" w:hAnsi="黑体" w:eastAsia="黑体" w:cs="黑体"/>
          <w:sz w:val="32"/>
          <w:szCs w:val="32"/>
        </w:rPr>
        <w:t>六</w:t>
      </w:r>
      <w:r>
        <w:rPr>
          <w:rFonts w:hint="eastAsia" w:ascii="黑体" w:hAnsi="黑体" w:eastAsia="黑体" w:cs="黑体"/>
          <w:sz w:val="32"/>
          <w:szCs w:val="32"/>
          <w:lang w:eastAsia="zh-CN"/>
        </w:rPr>
        <w:t>、</w:t>
      </w:r>
      <w:r>
        <w:rPr>
          <w:rFonts w:hint="eastAsia" w:ascii="黑体" w:hAnsi="黑体" w:eastAsia="黑体" w:cs="黑体"/>
          <w:sz w:val="32"/>
          <w:szCs w:val="32"/>
        </w:rPr>
        <w:t>其他需要报告的事项</w:t>
      </w:r>
    </w:p>
    <w:p>
      <w:pPr>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（一）无其他需要报告的事项。</w:t>
      </w:r>
      <w:r>
        <w:rPr>
          <w:rFonts w:hint="eastAsia" w:ascii="仿宋_GB2312" w:hAnsi="仿宋_GB2312" w:eastAsia="仿宋_GB2312" w:cs="仿宋_GB2312"/>
          <w:sz w:val="32"/>
          <w:szCs w:val="32"/>
          <w:lang w:val="en-US" w:eastAsia="zh-CN"/>
        </w:rPr>
        <w:t xml:space="preserve">  </w:t>
      </w:r>
    </w:p>
    <w:p>
      <w:pPr>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（二）省民委2017年度政府信息公开工作情况统计表。</w:t>
      </w:r>
    </w:p>
    <w:p>
      <w:pPr>
        <w:ind w:left="0" w:leftChars="0"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七、落实《2017年山东省政务公开工作要点》情况</w:t>
      </w:r>
    </w:p>
    <w:p>
      <w:pPr>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我委认真贯彻落实政务公开相关文件精神，按照山东省人民政府办公厅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关于印发2017年山东省政务公开工作要点的通知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鲁政办发〔2017〕39号</w:t>
      </w:r>
      <w:r>
        <w:rPr>
          <w:rFonts w:hint="eastAsia" w:ascii="仿宋_GB2312" w:hAnsi="仿宋_GB2312" w:eastAsia="仿宋_GB2312" w:cs="仿宋_GB2312"/>
          <w:sz w:val="32"/>
          <w:szCs w:val="32"/>
          <w:lang w:eastAsia="zh-CN"/>
        </w:rPr>
        <w:t>），主要做了以下工作：</w:t>
      </w:r>
    </w:p>
    <w:p>
      <w:pPr>
        <w:ind w:left="0" w:leftChars="0" w:firstLine="640" w:firstLineChars="200"/>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（一）加强对政务公开工作的组织领导。</w:t>
      </w:r>
      <w:r>
        <w:rPr>
          <w:rFonts w:hint="eastAsia" w:ascii="仿宋_GB2312" w:hAnsi="仿宋_GB2312" w:eastAsia="仿宋_GB2312" w:cs="仿宋_GB2312"/>
          <w:sz w:val="32"/>
          <w:szCs w:val="32"/>
          <w:lang w:eastAsia="zh-CN"/>
        </w:rPr>
        <w:t>把政务公开工作纳入重要议事日程，主要领导亲自抓，年内听取了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次政务公开工作汇报，研究推动工作。根据人员变化，调整充实了政务公开工作领导小组，明确了分管领导、责任处室和工作人员。制定了</w:t>
      </w:r>
      <w:r>
        <w:rPr>
          <w:rFonts w:hint="eastAsia" w:ascii="仿宋_GB2312" w:hAnsi="仿宋_GB2312" w:eastAsia="仿宋_GB2312" w:cs="仿宋_GB2312"/>
          <w:sz w:val="32"/>
          <w:szCs w:val="32"/>
          <w:lang w:val="en-US" w:eastAsia="zh-CN"/>
        </w:rPr>
        <w:t>2017年政务公开工作要点和培训计划</w:t>
      </w:r>
      <w:r>
        <w:rPr>
          <w:rFonts w:hint="eastAsia" w:ascii="仿宋_GB2312" w:hAnsi="仿宋_GB2312" w:eastAsia="仿宋_GB2312" w:cs="仿宋_GB2312"/>
          <w:sz w:val="32"/>
          <w:szCs w:val="32"/>
          <w:lang w:eastAsia="zh-CN"/>
        </w:rPr>
        <w:t>。</w:t>
      </w:r>
    </w:p>
    <w:p>
      <w:pPr>
        <w:ind w:left="0" w:leftChars="0" w:firstLine="640" w:firstLineChars="200"/>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（二）加强政务公开工作机制制度建设。</w:t>
      </w:r>
      <w:r>
        <w:rPr>
          <w:rFonts w:hint="eastAsia" w:ascii="仿宋_GB2312" w:hAnsi="仿宋_GB2312" w:eastAsia="仿宋_GB2312" w:cs="仿宋_GB2312"/>
          <w:sz w:val="32"/>
          <w:szCs w:val="32"/>
          <w:lang w:eastAsia="zh-CN"/>
        </w:rPr>
        <w:t>修订完善了《省民委（省宗教局）工作规则》，把推进政务公开作为重要内容之一。制定了公文公开属性源头认定办法、重大决策预公开制度、依申请公开的受理、办理、答复工作机制等系列工作制度。</w:t>
      </w:r>
    </w:p>
    <w:p>
      <w:pPr>
        <w:ind w:left="0" w:leftChars="0" w:firstLine="420" w:firstLineChars="200"/>
      </w:pPr>
      <w:r>
        <w:drawing>
          <wp:inline distT="0" distB="0" distL="114300" distR="114300">
            <wp:extent cx="4104640" cy="4695190"/>
            <wp:effectExtent l="0" t="0" r="10160" b="10160"/>
            <wp:docPr id="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
                    <pic:cNvPicPr>
                      <a:picLocks noChangeAspect="1"/>
                    </pic:cNvPicPr>
                  </pic:nvPicPr>
                  <pic:blipFill>
                    <a:blip r:embed="rId27"/>
                    <a:stretch>
                      <a:fillRect/>
                    </a:stretch>
                  </pic:blipFill>
                  <pic:spPr>
                    <a:xfrm>
                      <a:off x="0" y="0"/>
                      <a:ext cx="4104640" cy="4695190"/>
                    </a:xfrm>
                    <a:prstGeom prst="rect">
                      <a:avLst/>
                    </a:prstGeom>
                    <a:noFill/>
                    <a:ln w="9525">
                      <a:noFill/>
                    </a:ln>
                  </pic:spPr>
                </pic:pic>
              </a:graphicData>
            </a:graphic>
          </wp:inline>
        </w:drawing>
      </w:r>
    </w:p>
    <w:p>
      <w:pPr>
        <w:ind w:left="0" w:leftChars="0" w:firstLine="420" w:firstLineChars="200"/>
      </w:pPr>
      <w:r>
        <w:drawing>
          <wp:inline distT="0" distB="0" distL="114300" distR="114300">
            <wp:extent cx="5270500" cy="870585"/>
            <wp:effectExtent l="0" t="0" r="6350" b="5715"/>
            <wp:docPr id="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
                    <pic:cNvPicPr>
                      <a:picLocks noChangeAspect="1"/>
                    </pic:cNvPicPr>
                  </pic:nvPicPr>
                  <pic:blipFill>
                    <a:blip r:embed="rId28"/>
                    <a:stretch>
                      <a:fillRect/>
                    </a:stretch>
                  </pic:blipFill>
                  <pic:spPr>
                    <a:xfrm>
                      <a:off x="0" y="0"/>
                      <a:ext cx="5270500" cy="870585"/>
                    </a:xfrm>
                    <a:prstGeom prst="rect">
                      <a:avLst/>
                    </a:prstGeom>
                    <a:noFill/>
                    <a:ln w="9525">
                      <a:noFill/>
                    </a:ln>
                  </pic:spPr>
                </pic:pic>
              </a:graphicData>
            </a:graphic>
          </wp:inline>
        </w:drawing>
      </w:r>
    </w:p>
    <w:p>
      <w:pPr>
        <w:ind w:left="0" w:leftChars="0" w:firstLine="420" w:firstLineChars="200"/>
      </w:pPr>
      <w:r>
        <w:drawing>
          <wp:inline distT="0" distB="0" distL="114300" distR="114300">
            <wp:extent cx="5266690" cy="1457325"/>
            <wp:effectExtent l="0" t="0" r="10160" b="9525"/>
            <wp:docPr id="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
                    <pic:cNvPicPr>
                      <a:picLocks noChangeAspect="1"/>
                    </pic:cNvPicPr>
                  </pic:nvPicPr>
                  <pic:blipFill>
                    <a:blip r:embed="rId29"/>
                    <a:stretch>
                      <a:fillRect/>
                    </a:stretch>
                  </pic:blipFill>
                  <pic:spPr>
                    <a:xfrm>
                      <a:off x="0" y="0"/>
                      <a:ext cx="5266690" cy="1457325"/>
                    </a:xfrm>
                    <a:prstGeom prst="rect">
                      <a:avLst/>
                    </a:prstGeom>
                    <a:noFill/>
                    <a:ln w="9525">
                      <a:noFill/>
                    </a:ln>
                  </pic:spPr>
                </pic:pic>
              </a:graphicData>
            </a:graphic>
          </wp:inline>
        </w:drawing>
      </w:r>
    </w:p>
    <w:p>
      <w:pPr>
        <w:ind w:left="0" w:leftChars="0" w:firstLine="420" w:firstLineChars="200"/>
      </w:pPr>
      <w:r>
        <w:drawing>
          <wp:inline distT="0" distB="0" distL="114300" distR="114300">
            <wp:extent cx="4133215" cy="5457190"/>
            <wp:effectExtent l="0" t="0" r="635" b="10160"/>
            <wp:docPr id="2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
                    <pic:cNvPicPr>
                      <a:picLocks noChangeAspect="1"/>
                    </pic:cNvPicPr>
                  </pic:nvPicPr>
                  <pic:blipFill>
                    <a:blip r:embed="rId30"/>
                    <a:stretch>
                      <a:fillRect/>
                    </a:stretch>
                  </pic:blipFill>
                  <pic:spPr>
                    <a:xfrm>
                      <a:off x="0" y="0"/>
                      <a:ext cx="4133215" cy="5457190"/>
                    </a:xfrm>
                    <a:prstGeom prst="rect">
                      <a:avLst/>
                    </a:prstGeom>
                    <a:noFill/>
                    <a:ln w="9525">
                      <a:noFill/>
                    </a:ln>
                  </pic:spPr>
                </pic:pic>
              </a:graphicData>
            </a:graphic>
          </wp:inline>
        </w:drawing>
      </w:r>
    </w:p>
    <w:p>
      <w:pPr>
        <w:ind w:left="0" w:leftChars="0" w:firstLine="420" w:firstLineChars="200"/>
        <w:rPr>
          <w:rFonts w:hint="eastAsia" w:eastAsiaTheme="minorEastAsia"/>
          <w:lang w:eastAsia="zh-CN"/>
        </w:rPr>
      </w:pPr>
    </w:p>
    <w:p>
      <w:pPr>
        <w:ind w:left="0" w:leftChars="0" w:firstLine="640" w:firstLineChars="200"/>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（三）加强政务公开平台建设。</w:t>
      </w:r>
      <w:r>
        <w:rPr>
          <w:rFonts w:hint="eastAsia" w:ascii="仿宋_GB2312" w:hAnsi="仿宋_GB2312" w:eastAsia="仿宋_GB2312" w:cs="仿宋_GB2312"/>
          <w:sz w:val="32"/>
          <w:szCs w:val="32"/>
          <w:lang w:eastAsia="zh-CN"/>
        </w:rPr>
        <w:t>进一步加强政府网站、移动终端建设和管理。把网站作为政务公开第一平台，结合电子政务绩效考核、网站普查、网站信息内容建设等工作要求，不断加强网站建设，优化了栏目设置，加强了搜索查询，网站板块、页面、内容更加科学、充实、直观，服务功能进一步提升。加强微博、微信日常运维和“山东省政府信息公开管理系统”信息公开发布工作，着力解决信息发布数量质量问题。认真做好《山东民族与宗教》杂志的编辑、发行工作，充分发挥其在体制内、系统内及民族企业、村居、学校及各宗教团体、宗教场所等公开信息、宣传政策、宣传工作的作用。做好《山东民族宗教工作简报》、《山东民族宗教信息》编发工作，在全省民族宗教工作系统内加强信息公开和宣传。加强与新闻媒体的联系，充分运用报刊、广播、电视、网络等媒体加强信息公开工作。</w:t>
      </w:r>
    </w:p>
    <w:p>
      <w:pPr>
        <w:ind w:left="0" w:leftChars="0"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（四）加强政务公开保密审查。</w:t>
      </w:r>
      <w:r>
        <w:rPr>
          <w:rFonts w:hint="eastAsia" w:ascii="仿宋_GB2312" w:hAnsi="仿宋_GB2312" w:eastAsia="仿宋_GB2312" w:cs="仿宋_GB2312"/>
          <w:sz w:val="32"/>
          <w:szCs w:val="32"/>
          <w:lang w:eastAsia="zh-CN"/>
        </w:rPr>
        <w:t>进一步规范政府信息公开保密审查工作, 制定了政府信息公开保密审查制度并严格抓好贯彻落实，防范政府信息公开中发生失泄密情况。规范了保密审查工作流程，在互联网上发布的信息一律填写网络信息发布审核表，由相关领导审核、签发后发布。</w:t>
      </w:r>
    </w:p>
    <w:p>
      <w:pPr>
        <w:ind w:left="0" w:leftChars="0" w:firstLine="640" w:firstLineChars="200"/>
        <w:rPr>
          <w:rFonts w:hint="eastAsia" w:ascii="仿宋_GB2312" w:hAnsi="仿宋_GB2312" w:eastAsia="仿宋_GB2312" w:cs="仿宋_GB2312"/>
          <w:sz w:val="32"/>
          <w:szCs w:val="32"/>
        </w:rPr>
      </w:pPr>
    </w:p>
    <w:p>
      <w:p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ind w:left="0" w:leftChars="0" w:firstLine="640" w:firstLineChars="200"/>
        <w:rPr>
          <w:rFonts w:hint="eastAsia" w:ascii="仿宋_GB2312" w:hAnsi="仿宋_GB2312" w:eastAsia="仿宋_GB2312" w:cs="仿宋_GB2312"/>
          <w:sz w:val="32"/>
          <w:szCs w:val="32"/>
          <w:lang w:val="en-US" w:eastAsia="zh-CN"/>
        </w:rPr>
      </w:pPr>
    </w:p>
    <w:p>
      <w:pPr>
        <w:ind w:left="0" w:leftChars="0" w:firstLine="640" w:firstLineChars="200"/>
        <w:rPr>
          <w:rFonts w:hint="eastAsia" w:ascii="仿宋_GB2312" w:hAnsi="仿宋_GB2312" w:eastAsia="仿宋_GB2312" w:cs="仿宋_GB2312"/>
          <w:sz w:val="32"/>
          <w:szCs w:val="32"/>
          <w:lang w:val="en-US" w:eastAsia="zh-CN"/>
        </w:rPr>
      </w:pPr>
    </w:p>
    <w:p>
      <w:pPr>
        <w:ind w:left="0" w:leftChars="0" w:firstLine="640" w:firstLineChars="200"/>
        <w:rPr>
          <w:rFonts w:hint="eastAsia" w:ascii="仿宋_GB2312" w:hAnsi="仿宋_GB2312" w:eastAsia="仿宋_GB2312" w:cs="仿宋_GB2312"/>
          <w:sz w:val="32"/>
          <w:szCs w:val="32"/>
          <w:lang w:val="en-US" w:eastAsia="zh-CN"/>
        </w:rPr>
      </w:pPr>
    </w:p>
    <w:p>
      <w:pPr>
        <w:ind w:left="0" w:leftChars="0" w:firstLine="640" w:firstLineChars="200"/>
        <w:rPr>
          <w:rFonts w:hint="eastAsia" w:ascii="仿宋_GB2312" w:hAnsi="仿宋_GB2312" w:eastAsia="仿宋_GB2312" w:cs="仿宋_GB2312"/>
          <w:sz w:val="32"/>
          <w:szCs w:val="32"/>
          <w:lang w:val="en-US" w:eastAsia="zh-CN"/>
        </w:rPr>
      </w:pPr>
    </w:p>
    <w:p>
      <w:pPr>
        <w:ind w:left="0" w:leftChars="0" w:firstLine="640" w:firstLineChars="200"/>
        <w:rPr>
          <w:rFonts w:hint="eastAsia" w:ascii="仿宋_GB2312" w:hAnsi="仿宋_GB2312" w:eastAsia="仿宋_GB2312" w:cs="仿宋_GB2312"/>
          <w:sz w:val="32"/>
          <w:szCs w:val="32"/>
          <w:lang w:val="en-US" w:eastAsia="zh-CN"/>
        </w:rPr>
      </w:pPr>
    </w:p>
    <w:p>
      <w:pPr>
        <w:ind w:left="0" w:leftChars="0" w:firstLine="640" w:firstLineChars="200"/>
        <w:rPr>
          <w:rFonts w:hint="eastAsia" w:ascii="仿宋_GB2312" w:hAnsi="仿宋_GB2312" w:eastAsia="仿宋_GB2312" w:cs="仿宋_GB2312"/>
          <w:sz w:val="32"/>
          <w:szCs w:val="32"/>
          <w:lang w:val="en-US" w:eastAsia="zh-CN"/>
        </w:rPr>
      </w:pPr>
    </w:p>
    <w:p>
      <w:pPr>
        <w:ind w:left="0" w:leftChars="0" w:firstLine="640" w:firstLineChars="200"/>
        <w:rPr>
          <w:rFonts w:hint="eastAsia" w:ascii="仿宋_GB2312" w:hAnsi="仿宋_GB2312" w:eastAsia="仿宋_GB2312" w:cs="仿宋_GB2312"/>
          <w:sz w:val="32"/>
          <w:szCs w:val="32"/>
          <w:lang w:val="en-US" w:eastAsia="zh-CN"/>
        </w:rPr>
      </w:pPr>
    </w:p>
    <w:p>
      <w:pPr>
        <w:ind w:left="0" w:leftChars="0" w:firstLine="640" w:firstLineChars="200"/>
        <w:rPr>
          <w:rFonts w:hint="eastAsia" w:ascii="仿宋_GB2312" w:hAnsi="仿宋_GB2312" w:eastAsia="仿宋_GB2312" w:cs="仿宋_GB2312"/>
          <w:sz w:val="32"/>
          <w:szCs w:val="32"/>
          <w:lang w:val="en-US" w:eastAsia="zh-CN"/>
        </w:rPr>
      </w:pPr>
    </w:p>
    <w:p>
      <w:pPr>
        <w:jc w:val="center"/>
        <w:rPr>
          <w:rFonts w:hint="eastAsia" w:ascii="宋体" w:hAnsi="宋体"/>
          <w:b/>
          <w:sz w:val="32"/>
          <w:lang w:eastAsia="zh-CN"/>
        </w:rPr>
      </w:pPr>
    </w:p>
    <w:p>
      <w:pPr>
        <w:jc w:val="left"/>
        <w:rPr>
          <w:rFonts w:hint="eastAsia" w:ascii="黑体" w:hAnsi="黑体" w:eastAsia="黑体" w:cs="黑体"/>
          <w:b w:val="0"/>
          <w:bCs/>
          <w:sz w:val="32"/>
          <w:lang w:val="en-US" w:eastAsia="zh-CN"/>
        </w:rPr>
      </w:pPr>
      <w:r>
        <w:rPr>
          <w:rFonts w:hint="eastAsia" w:ascii="黑体" w:hAnsi="黑体" w:eastAsia="黑体" w:cs="黑体"/>
          <w:b w:val="0"/>
          <w:bCs/>
          <w:sz w:val="32"/>
          <w:lang w:eastAsia="zh-CN"/>
        </w:rPr>
        <w:t>附件</w:t>
      </w:r>
      <w:bookmarkStart w:id="0" w:name="_GoBack"/>
      <w:bookmarkEnd w:id="0"/>
    </w:p>
    <w:p>
      <w:pPr>
        <w:jc w:val="left"/>
        <w:rPr>
          <w:rFonts w:hint="eastAsia" w:ascii="黑体" w:hAnsi="黑体" w:eastAsia="黑体" w:cs="黑体"/>
          <w:b w:val="0"/>
          <w:bCs/>
          <w:sz w:val="32"/>
          <w:lang w:val="en-US" w:eastAsia="zh-CN"/>
        </w:rPr>
      </w:pPr>
    </w:p>
    <w:p>
      <w:pPr>
        <w:jc w:val="center"/>
        <w:rPr>
          <w:rFonts w:hint="eastAsia" w:ascii="宋体" w:hAnsi="宋体"/>
          <w:b/>
          <w:sz w:val="32"/>
        </w:rPr>
      </w:pPr>
      <w:r>
        <w:rPr>
          <w:rFonts w:hint="eastAsia" w:ascii="方正小标宋简体" w:hAnsi="方正小标宋简体" w:eastAsia="方正小标宋简体" w:cs="方正小标宋简体"/>
          <w:b w:val="0"/>
          <w:bCs/>
          <w:sz w:val="36"/>
          <w:szCs w:val="36"/>
          <w:lang w:eastAsia="zh-CN"/>
        </w:rPr>
        <w:t>省民委</w:t>
      </w:r>
      <w:r>
        <w:rPr>
          <w:rFonts w:hint="eastAsia" w:ascii="方正小标宋简体" w:hAnsi="方正小标宋简体" w:eastAsia="方正小标宋简体" w:cs="方正小标宋简体"/>
          <w:b w:val="0"/>
          <w:bCs/>
          <w:sz w:val="36"/>
          <w:szCs w:val="36"/>
        </w:rPr>
        <w:t>2017年度政府信息公开工作情况统计表</w:t>
      </w:r>
    </w:p>
    <w:p>
      <w:pPr>
        <w:jc w:val="center"/>
        <w:rPr>
          <w:rFonts w:hint="eastAsia"/>
        </w:rPr>
      </w:pPr>
      <w:r>
        <w:rPr>
          <w:rFonts w:hint="eastAsia"/>
          <w:b/>
          <w:sz w:val="28"/>
          <w:szCs w:val="28"/>
        </w:rPr>
        <w:t>（省政府各部门、各直属机构）</w:t>
      </w:r>
    </w:p>
    <w:tbl>
      <w:tblPr>
        <w:tblStyle w:val="8"/>
        <w:tblW w:w="9450" w:type="dxa"/>
        <w:jc w:val="center"/>
        <w:tblInd w:w="-8" w:type="dxa"/>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7575"/>
        <w:gridCol w:w="1020"/>
        <w:gridCol w:w="855"/>
      </w:tblGrid>
      <w:tr>
        <w:tblPrEx>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4"/>
              <w:spacing w:before="0" w:beforeAutospacing="0" w:after="0" w:afterAutospacing="0" w:line="420" w:lineRule="atLeast"/>
              <w:ind w:firstLine="685"/>
              <w:jc w:val="center"/>
              <w:rPr>
                <w:rFonts w:hint="eastAsia"/>
                <w:color w:val="000000"/>
              </w:rPr>
            </w:pPr>
            <w:r>
              <w:rPr>
                <w:rStyle w:val="6"/>
                <w:rFonts w:hint="eastAsia"/>
                <w:color w:val="000000"/>
                <w:sz w:val="20"/>
                <w:szCs w:val="20"/>
              </w:rPr>
              <w:t>统　计　指　标</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Style w:val="6"/>
                <w:rFonts w:hint="eastAsia" w:ascii="宋体" w:hAnsi="宋体"/>
                <w:color w:val="000000"/>
                <w:sz w:val="20"/>
                <w:szCs w:val="20"/>
              </w:rPr>
              <w:t>单位</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Style w:val="6"/>
                <w:rFonts w:hint="eastAsia" w:ascii="宋体" w:hAnsi="宋体"/>
                <w:color w:val="000000"/>
                <w:sz w:val="20"/>
                <w:szCs w:val="20"/>
              </w:rPr>
              <w:t>统计数</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color w:val="000000"/>
                <w:sz w:val="24"/>
              </w:rPr>
            </w:pPr>
            <w:r>
              <w:rPr>
                <w:rFonts w:hint="eastAsia" w:ascii="黑体" w:hAnsi="宋体" w:eastAsia="黑体"/>
                <w:color w:val="000000"/>
                <w:sz w:val="20"/>
                <w:szCs w:val="20"/>
              </w:rPr>
              <w:t>一、主动公开情况</w:t>
            </w:r>
          </w:p>
        </w:tc>
        <w:tc>
          <w:tcPr>
            <w:tcW w:w="1020"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eastAsia" w:ascii="宋体" w:hAnsi="宋体" w:cs="宋体"/>
                <w:color w:val="000000"/>
                <w:sz w:val="24"/>
              </w:rPr>
            </w:pP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（一）主动公开政府信息数</w:t>
            </w:r>
            <w:r>
              <w:rPr>
                <w:rFonts w:ascii="宋体" w:hAnsi="宋体"/>
                <w:color w:val="000000"/>
                <w:sz w:val="20"/>
                <w:szCs w:val="20"/>
              </w:rPr>
              <w:br w:type="textWrapping"/>
            </w:r>
            <w:r>
              <w:rPr>
                <w:rFonts w:ascii="宋体" w:hAnsi="宋体"/>
                <w:color w:val="000000"/>
                <w:sz w:val="20"/>
                <w:szCs w:val="20"/>
              </w:rPr>
              <w:t>　　　　（不同渠道和方式公开相同信息计1条）</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973</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其中：主动公开规范性文件数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制发规范性文件总数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（二）通过不同渠道和方式公开政府信息的情况</w:t>
            </w:r>
          </w:p>
        </w:tc>
        <w:tc>
          <w:tcPr>
            <w:tcW w:w="1020"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eastAsia" w:ascii="宋体" w:hAnsi="宋体" w:cs="宋体"/>
                <w:color w:val="000000"/>
                <w:sz w:val="24"/>
              </w:rPr>
            </w:pP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973</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1.政府公报公开政府信息数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2.政府网站公开政府信息数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755</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3.政务微博公开政府信息数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51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4.政务微信公开政府信息数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92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5.其他方式公开政府信息数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75</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color w:val="000000"/>
                <w:sz w:val="24"/>
              </w:rPr>
            </w:pPr>
            <w:r>
              <w:rPr>
                <w:rFonts w:hint="eastAsia" w:ascii="黑体" w:hAnsi="宋体" w:eastAsia="黑体"/>
                <w:color w:val="000000"/>
                <w:sz w:val="20"/>
                <w:szCs w:val="20"/>
              </w:rPr>
              <w:t>二、回应解读情况</w:t>
            </w:r>
          </w:p>
        </w:tc>
        <w:tc>
          <w:tcPr>
            <w:tcW w:w="1020"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4"/>
              <w:spacing w:before="0" w:beforeAutospacing="0" w:after="0" w:afterAutospacing="0" w:line="420" w:lineRule="atLeast"/>
              <w:ind w:firstLine="685"/>
              <w:jc w:val="center"/>
              <w:rPr>
                <w:rFonts w:hint="eastAsia"/>
                <w:color w:val="000000"/>
              </w:rPr>
            </w:pPr>
          </w:p>
        </w:tc>
        <w:tc>
          <w:tcPr>
            <w:tcW w:w="855" w:type="dxa"/>
            <w:tcBorders>
              <w:top w:val="single" w:color="auto" w:sz="0" w:space="0"/>
              <w:left w:val="single" w:color="auto" w:sz="0" w:space="0"/>
              <w:bottom w:val="single" w:color="auto" w:sz="0" w:space="0"/>
            </w:tcBorders>
            <w:shd w:val="clear" w:color="auto" w:fill="FFFFFF"/>
            <w:vAlign w:val="center"/>
          </w:tcPr>
          <w:p>
            <w:pPr>
              <w:jc w:val="center"/>
              <w:rPr>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4"/>
              <w:spacing w:before="0" w:beforeAutospacing="0" w:after="0" w:afterAutospacing="0" w:line="420" w:lineRule="atLeast"/>
              <w:ind w:firstLine="400" w:firstLineChars="200"/>
              <w:rPr>
                <w:color w:val="000000"/>
              </w:rPr>
            </w:pPr>
            <w:r>
              <w:rPr>
                <w:rFonts w:cs="Times New Roman"/>
                <w:color w:val="000000"/>
                <w:kern w:val="2"/>
                <w:sz w:val="20"/>
                <w:szCs w:val="20"/>
              </w:rPr>
              <w:t>（一）回应公众关注热点或重大舆情数</w:t>
            </w:r>
            <w:r>
              <w:rPr>
                <w:rFonts w:cs="Times New Roman"/>
                <w:color w:val="000000"/>
                <w:kern w:val="2"/>
                <w:sz w:val="20"/>
                <w:szCs w:val="20"/>
              </w:rPr>
              <w:br w:type="textWrapping"/>
            </w:r>
            <w:r>
              <w:rPr>
                <w:rFonts w:cs="Times New Roman"/>
                <w:color w:val="000000"/>
                <w:kern w:val="2"/>
                <w:sz w:val="20"/>
                <w:szCs w:val="20"/>
              </w:rPr>
              <w:t>　　　　 （不同方式回应同一热点或舆情计1次）</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（二）通过不同渠道和方式回应解读的情况</w:t>
            </w:r>
          </w:p>
        </w:tc>
        <w:tc>
          <w:tcPr>
            <w:tcW w:w="1020"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eastAsia" w:ascii="宋体" w:hAnsi="宋体" w:cs="宋体"/>
                <w:color w:val="000000"/>
                <w:sz w:val="24"/>
              </w:rPr>
            </w:pP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3</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1.参加或举办新闻发布会总次数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其中：主要负责同志参加新闻发布会次数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2.政府网站在线访谈次数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其中：主要负责同志参加政府网站在线访谈次数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3.政策解读稿件发布数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篇</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4.微博微信回应事件数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5.其他方式回应事件数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color w:val="000000"/>
                <w:sz w:val="24"/>
              </w:rPr>
            </w:pPr>
            <w:r>
              <w:rPr>
                <w:rFonts w:hint="eastAsia" w:ascii="黑体" w:hAnsi="宋体" w:eastAsia="黑体"/>
                <w:color w:val="000000"/>
                <w:sz w:val="20"/>
                <w:szCs w:val="20"/>
              </w:rPr>
              <w:t>三、依申请公开情况</w:t>
            </w:r>
          </w:p>
        </w:tc>
        <w:tc>
          <w:tcPr>
            <w:tcW w:w="1020"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4"/>
              <w:spacing w:before="0" w:beforeAutospacing="0" w:after="0" w:afterAutospacing="0" w:line="420" w:lineRule="atLeast"/>
              <w:ind w:firstLine="685"/>
              <w:jc w:val="center"/>
              <w:rPr>
                <w:rFonts w:hint="eastAsia"/>
                <w:color w:val="000000"/>
              </w:rPr>
            </w:pPr>
          </w:p>
        </w:tc>
        <w:tc>
          <w:tcPr>
            <w:tcW w:w="855" w:type="dxa"/>
            <w:tcBorders>
              <w:top w:val="single" w:color="auto" w:sz="0" w:space="0"/>
              <w:left w:val="single" w:color="auto" w:sz="0" w:space="0"/>
              <w:bottom w:val="single" w:color="auto" w:sz="0" w:space="0"/>
            </w:tcBorders>
            <w:shd w:val="clear" w:color="auto" w:fill="FFFFFF"/>
            <w:vAlign w:val="center"/>
          </w:tcPr>
          <w:p>
            <w:pPr>
              <w:jc w:val="center"/>
              <w:rPr>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（一）收到申请数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1.当面申请数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2.传真申请数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3.网络申请数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single" w:color="auto" w:sz="4" w:space="0"/>
              <w:left w:val="single" w:color="auto" w:sz="4" w:space="0"/>
              <w:bottom w:val="single" w:color="auto" w:sz="4"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4.信函申请数</w:t>
            </w:r>
          </w:p>
        </w:tc>
        <w:tc>
          <w:tcPr>
            <w:tcW w:w="1020"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single" w:color="auto" w:sz="4" w:space="0"/>
              <w:left w:val="single" w:color="auto" w:sz="4" w:space="0"/>
              <w:bottom w:val="outset" w:color="000000" w:sz="6" w:space="0"/>
              <w:right w:val="outset" w:color="000000" w:sz="6" w:space="0"/>
            </w:tcBorders>
            <w:shd w:val="clear" w:color="auto" w:fill="FFFFFF"/>
            <w:vAlign w:val="center"/>
          </w:tcPr>
          <w:p>
            <w:pPr>
              <w:spacing w:line="420" w:lineRule="atLeast"/>
              <w:rPr>
                <w:rFonts w:hint="eastAsia" w:ascii="宋体" w:hAnsi="宋体"/>
                <w:color w:val="000000"/>
                <w:sz w:val="20"/>
                <w:szCs w:val="20"/>
              </w:rPr>
            </w:pPr>
            <w:r>
              <w:rPr>
                <w:rFonts w:hint="eastAsia" w:ascii="宋体" w:hAnsi="宋体"/>
                <w:color w:val="000000"/>
                <w:sz w:val="20"/>
                <w:szCs w:val="20"/>
              </w:rPr>
              <w:t xml:space="preserve">          5.其他形式</w:t>
            </w:r>
          </w:p>
        </w:tc>
        <w:tc>
          <w:tcPr>
            <w:tcW w:w="1020"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件</w:t>
            </w:r>
          </w:p>
        </w:tc>
        <w:tc>
          <w:tcPr>
            <w:tcW w:w="855"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（二）申请办结数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1.按时办结数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2.延期办结数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（三）申请答复数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1.属于已主动公开范围数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2.同意公开答复数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3.同意部分公开答复数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4.不同意公开答复数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其中：涉及国家秘密</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涉及商业秘密</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涉及个人隐私</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危及国家安全、公共安全、经济安全和社会稳定</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不是《条例》所指政府信息</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法律法规规定的其他情形</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5.不属于本行政机关公开数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6.申请信息不存在数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7.告知作出更改补充数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8.告知通过其他途径办理数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color w:val="000000"/>
                <w:sz w:val="24"/>
              </w:rPr>
            </w:pPr>
            <w:r>
              <w:rPr>
                <w:rFonts w:hint="eastAsia" w:ascii="黑体" w:hAnsi="宋体" w:eastAsia="黑体"/>
                <w:color w:val="000000"/>
                <w:sz w:val="20"/>
                <w:szCs w:val="20"/>
              </w:rPr>
              <w:t>四、行政复议数量</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（一）维持具体行政行为数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（二）被依法纠错数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（三）其他情形数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color w:val="000000"/>
                <w:sz w:val="24"/>
              </w:rPr>
            </w:pPr>
            <w:r>
              <w:rPr>
                <w:rFonts w:hint="eastAsia" w:ascii="黑体" w:hAnsi="宋体" w:eastAsia="黑体"/>
                <w:color w:val="000000"/>
                <w:sz w:val="20"/>
                <w:szCs w:val="20"/>
              </w:rPr>
              <w:t>五、行政诉讼数量</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（一）维持具体行政行为或者驳回原告诉讼请求数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（二）被依法纠错数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（三）其他情形数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hint="eastAsia" w:ascii="黑体" w:hAnsi="宋体" w:eastAsia="黑体" w:cs="宋体"/>
                <w:color w:val="000000"/>
                <w:sz w:val="24"/>
              </w:rPr>
            </w:pPr>
            <w:r>
              <w:rPr>
                <w:rFonts w:hint="eastAsia" w:ascii="黑体" w:hAnsi="宋体" w:eastAsia="黑体"/>
                <w:color w:val="000000"/>
                <w:sz w:val="20"/>
                <w:szCs w:val="20"/>
              </w:rPr>
              <w:t>六、被举报投诉数量</w:t>
            </w:r>
          </w:p>
        </w:tc>
        <w:tc>
          <w:tcPr>
            <w:tcW w:w="1020"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855"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（一）维持具体行政行为数</w:t>
            </w:r>
          </w:p>
        </w:tc>
        <w:tc>
          <w:tcPr>
            <w:tcW w:w="1020"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件</w:t>
            </w:r>
          </w:p>
        </w:tc>
        <w:tc>
          <w:tcPr>
            <w:tcW w:w="855"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（二）被纠错数</w:t>
            </w:r>
          </w:p>
        </w:tc>
        <w:tc>
          <w:tcPr>
            <w:tcW w:w="1020"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件</w:t>
            </w:r>
          </w:p>
        </w:tc>
        <w:tc>
          <w:tcPr>
            <w:tcW w:w="855"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（三）其他情形数</w:t>
            </w:r>
          </w:p>
        </w:tc>
        <w:tc>
          <w:tcPr>
            <w:tcW w:w="1020"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件</w:t>
            </w:r>
          </w:p>
        </w:tc>
        <w:tc>
          <w:tcPr>
            <w:tcW w:w="855"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hint="eastAsia" w:ascii="宋体" w:hAnsi="宋体"/>
                <w:b/>
                <w:bCs/>
                <w:color w:val="000000"/>
                <w:sz w:val="20"/>
                <w:szCs w:val="20"/>
              </w:rPr>
            </w:pPr>
            <w:r>
              <w:rPr>
                <w:rFonts w:hint="eastAsia" w:ascii="宋体" w:hAnsi="宋体"/>
                <w:b/>
                <w:bCs/>
                <w:color w:val="000000"/>
                <w:sz w:val="20"/>
                <w:szCs w:val="20"/>
              </w:rPr>
              <w:t>七、向图书馆、档案馆等查阅场所报送信息数</w:t>
            </w:r>
          </w:p>
          <w:p>
            <w:pPr>
              <w:spacing w:line="420" w:lineRule="atLeast"/>
              <w:rPr>
                <w:rFonts w:hint="eastAsia" w:ascii="宋体" w:hAnsi="宋体"/>
                <w:color w:val="000000"/>
                <w:sz w:val="20"/>
                <w:szCs w:val="20"/>
              </w:rPr>
            </w:pPr>
          </w:p>
        </w:tc>
        <w:tc>
          <w:tcPr>
            <w:tcW w:w="1020"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条</w:t>
            </w:r>
          </w:p>
        </w:tc>
        <w:tc>
          <w:tcPr>
            <w:tcW w:w="855"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hint="eastAsia" w:ascii="宋体" w:hAnsi="宋体" w:cs="宋体"/>
                <w:color w:val="000000"/>
                <w:sz w:val="24"/>
              </w:rPr>
            </w:pPr>
            <w:r>
              <w:rPr>
                <w:rFonts w:ascii="宋体" w:hAnsi="宋体"/>
                <w:color w:val="000000"/>
                <w:sz w:val="20"/>
                <w:szCs w:val="20"/>
              </w:rPr>
              <w:t>　　（一）</w:t>
            </w:r>
            <w:r>
              <w:rPr>
                <w:rFonts w:hint="eastAsia" w:ascii="宋体" w:hAnsi="宋体"/>
                <w:color w:val="000000"/>
                <w:sz w:val="20"/>
                <w:szCs w:val="20"/>
              </w:rPr>
              <w:t>纸质文件数</w:t>
            </w:r>
          </w:p>
        </w:tc>
        <w:tc>
          <w:tcPr>
            <w:tcW w:w="1020"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条</w:t>
            </w:r>
          </w:p>
        </w:tc>
        <w:tc>
          <w:tcPr>
            <w:tcW w:w="855"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cs="宋体"/>
                <w:color w:val="000000"/>
                <w:sz w:val="24"/>
              </w:rPr>
            </w:pPr>
            <w:r>
              <w:rPr>
                <w:rFonts w:ascii="宋体" w:hAnsi="宋体"/>
                <w:color w:val="000000"/>
                <w:sz w:val="20"/>
                <w:szCs w:val="20"/>
              </w:rPr>
              <w:t>　　（二）</w:t>
            </w:r>
            <w:r>
              <w:rPr>
                <w:rFonts w:hint="eastAsia" w:ascii="宋体" w:hAnsi="宋体"/>
                <w:color w:val="000000"/>
                <w:sz w:val="20"/>
                <w:szCs w:val="20"/>
              </w:rPr>
              <w:t>电子文件数</w:t>
            </w:r>
          </w:p>
        </w:tc>
        <w:tc>
          <w:tcPr>
            <w:tcW w:w="1020"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条</w:t>
            </w:r>
          </w:p>
        </w:tc>
        <w:tc>
          <w:tcPr>
            <w:tcW w:w="855"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color w:val="000000"/>
                <w:sz w:val="24"/>
              </w:rPr>
            </w:pPr>
            <w:r>
              <w:rPr>
                <w:rFonts w:hint="eastAsia" w:ascii="黑体" w:hAnsi="宋体" w:eastAsia="黑体"/>
                <w:color w:val="000000"/>
                <w:sz w:val="20"/>
                <w:szCs w:val="20"/>
              </w:rPr>
              <w:t>八、机构建设和保障经费情况</w:t>
            </w:r>
          </w:p>
        </w:tc>
        <w:tc>
          <w:tcPr>
            <w:tcW w:w="1020"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eastAsia" w:ascii="宋体" w:hAnsi="宋体" w:cs="宋体"/>
                <w:color w:val="000000"/>
                <w:sz w:val="24"/>
              </w:rPr>
            </w:pP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（一）政府信息公开工作专门机构数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个</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（二）设置政府信息公开查阅点数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个</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（三）从事政府信息公开工作人员数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人</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11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1.专职人员数（不包括政府公报及政府网站工作人员数）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人</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2.兼职人员数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人</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11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（四）政府信息公开专项经费（不包括用于政府公报编辑管理及政府网站建设维</w:t>
            </w:r>
            <w:r>
              <w:rPr>
                <w:rFonts w:ascii="宋体" w:hAnsi="宋体"/>
                <w:color w:val="000000"/>
                <w:sz w:val="20"/>
                <w:szCs w:val="20"/>
              </w:rPr>
              <w:br w:type="textWrapping"/>
            </w:r>
            <w:r>
              <w:rPr>
                <w:rFonts w:ascii="宋体" w:hAnsi="宋体"/>
                <w:color w:val="000000"/>
                <w:sz w:val="20"/>
                <w:szCs w:val="20"/>
              </w:rPr>
              <w:t>　　　　　护等方面的经费）</w:t>
            </w:r>
          </w:p>
        </w:tc>
        <w:tc>
          <w:tcPr>
            <w:tcW w:w="1020"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万元</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8</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color w:val="000000"/>
                <w:sz w:val="24"/>
              </w:rPr>
            </w:pPr>
            <w:r>
              <w:rPr>
                <w:rFonts w:hint="eastAsia" w:ascii="黑体" w:hAnsi="宋体" w:eastAsia="黑体"/>
                <w:color w:val="000000"/>
                <w:sz w:val="20"/>
                <w:szCs w:val="20"/>
              </w:rPr>
              <w:t>九、政府信息公开会议和培训情况</w:t>
            </w:r>
          </w:p>
        </w:tc>
        <w:tc>
          <w:tcPr>
            <w:tcW w:w="1020"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eastAsia" w:ascii="宋体" w:hAnsi="宋体" w:cs="宋体"/>
                <w:color w:val="000000"/>
                <w:sz w:val="24"/>
              </w:rPr>
            </w:pP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（一）召开政府信息公开工作会议或专题会议数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（二）举办各类培训班数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57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（三）接受培训人员数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人次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val="en-US" w:eastAsia="zh-CN"/>
              </w:rPr>
            </w:pPr>
            <w:r>
              <w:rPr>
                <w:rFonts w:hint="eastAsia" w:ascii="宋体" w:hAnsi="宋体" w:cs="宋体"/>
                <w:color w:val="000000"/>
                <w:sz w:val="24"/>
                <w:lang w:val="en-US" w:eastAsia="zh-CN"/>
              </w:rPr>
              <w:t>11</w:t>
            </w:r>
          </w:p>
        </w:tc>
      </w:tr>
    </w:tbl>
    <w:p>
      <w:pPr>
        <w:rPr>
          <w:rFonts w:hint="eastAsia" w:ascii="宋体" w:hAnsi="宋体"/>
          <w:color w:val="000000"/>
          <w:sz w:val="20"/>
          <w:szCs w:val="20"/>
        </w:rPr>
      </w:pPr>
      <w:r>
        <w:rPr>
          <w:rFonts w:hint="eastAsia" w:ascii="宋体" w:hAnsi="宋体"/>
          <w:color w:val="000000"/>
          <w:sz w:val="20"/>
          <w:szCs w:val="20"/>
        </w:rPr>
        <w:t>（注：各子栏目数总数要等于总栏目数量）</w:t>
      </w:r>
    </w:p>
    <w:p/>
    <w:p>
      <w:pPr>
        <w:ind w:left="0" w:leftChars="0" w:firstLine="640" w:firstLineChars="200"/>
        <w:rPr>
          <w:rFonts w:hint="eastAsia" w:ascii="仿宋_GB2312" w:hAnsi="仿宋_GB2312" w:eastAsia="仿宋_GB2312" w:cs="仿宋_GB2312"/>
          <w:sz w:val="32"/>
          <w:szCs w:val="32"/>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Palatino Linotype">
    <w:panose1 w:val="02040502050505030304"/>
    <w:charset w:val="00"/>
    <w:family w:val="auto"/>
    <w:pitch w:val="default"/>
    <w:sig w:usb0="E0000287" w:usb1="40000013" w:usb2="00000000" w:usb3="00000000" w:csb0="2000019F" w:csb1="00000000"/>
  </w:font>
  <w:font w:name="Lucida Sans">
    <w:panose1 w:val="020B0602040502020204"/>
    <w:charset w:val="00"/>
    <w:family w:val="auto"/>
    <w:pitch w:val="default"/>
    <w:sig w:usb0="00000000" w:usb1="00000000" w:usb2="00000000" w:usb3="00000000" w:csb0="00000000" w:csb1="00000000"/>
  </w:font>
  <w:font w:name="方正小标宋简体">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modern"/>
    <w:pitch w:val="default"/>
    <w:sig w:usb0="E1002EFF" w:usb1="C000605B" w:usb2="00000029" w:usb3="00000000" w:csb0="200101FF" w:csb1="20280000"/>
  </w:font>
  <w:font w:name="楷体_GB2312">
    <w:altName w:val="楷体"/>
    <w:panose1 w:val="02010609030101010101"/>
    <w:charset w:val="86"/>
    <w:family w:val="roman"/>
    <w:pitch w:val="default"/>
    <w:sig w:usb0="00000000" w:usb1="00000000" w:usb2="00000000" w:usb3="00000000" w:csb0="00040000" w:csb1="00000000"/>
  </w:font>
  <w:font w:name="宋体-PUA">
    <w:altName w:val="宋体"/>
    <w:panose1 w:val="02010600030101010101"/>
    <w:charset w:val="86"/>
    <w:family w:val="auto"/>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decorative"/>
    <w:pitch w:val="default"/>
    <w:sig w:usb0="800002BF" w:usb1="38CF7CFA" w:usb2="00000016" w:usb3="00000000" w:csb0="00040001" w:csb1="00000000"/>
  </w:font>
  <w:font w:name="微软雅黑">
    <w:panose1 w:val="020B0503020204020204"/>
    <w:charset w:val="86"/>
    <w:family w:val="auto"/>
    <w:pitch w:val="default"/>
    <w:sig w:usb0="80000287" w:usb1="28C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DC4B3A"/>
    <w:rsid w:val="02A83C68"/>
    <w:rsid w:val="09794684"/>
    <w:rsid w:val="09B7220B"/>
    <w:rsid w:val="0A88212D"/>
    <w:rsid w:val="0D74159B"/>
    <w:rsid w:val="167A3AEE"/>
    <w:rsid w:val="1DA34FB8"/>
    <w:rsid w:val="29080B28"/>
    <w:rsid w:val="29E64577"/>
    <w:rsid w:val="2AC32287"/>
    <w:rsid w:val="2EA72084"/>
    <w:rsid w:val="300849C7"/>
    <w:rsid w:val="32A26FC8"/>
    <w:rsid w:val="360475FB"/>
    <w:rsid w:val="3DD72511"/>
    <w:rsid w:val="44834524"/>
    <w:rsid w:val="44FD09B9"/>
    <w:rsid w:val="459A1C1C"/>
    <w:rsid w:val="4FE57329"/>
    <w:rsid w:val="50DC4B3A"/>
    <w:rsid w:val="547A1311"/>
    <w:rsid w:val="55516939"/>
    <w:rsid w:val="57BA129E"/>
    <w:rsid w:val="58EE6416"/>
    <w:rsid w:val="590012D1"/>
    <w:rsid w:val="59B3730B"/>
    <w:rsid w:val="5A567CEE"/>
    <w:rsid w:val="5A9578FF"/>
    <w:rsid w:val="5F397D09"/>
    <w:rsid w:val="71176FD4"/>
    <w:rsid w:val="76A5002E"/>
    <w:rsid w:val="7C5931A2"/>
    <w:rsid w:val="7E633C75"/>
    <w:rsid w:val="7E922E8F"/>
    <w:rsid w:val="7EE55B55"/>
    <w:rsid w:val="7FDE3B2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jc w:val="left"/>
    </w:pPr>
    <w:rPr>
      <w:rFonts w:ascii="宋体" w:hAnsi="宋体" w:cs="宋体"/>
      <w:kern w:val="0"/>
      <w:sz w:val="24"/>
    </w:rPr>
  </w:style>
  <w:style w:type="character" w:styleId="6">
    <w:name w:val="Strong"/>
    <w:basedOn w:val="5"/>
    <w:qFormat/>
    <w:uiPriority w:val="0"/>
    <w:rPr>
      <w:b/>
      <w:bCs/>
    </w:rPr>
  </w:style>
  <w:style w:type="character" w:styleId="7">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customXml" Target="../customXml/item1.xml"/><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2016-03-04T06:33:00Z</dcterms:created>
  <dc:creator>Administrator</dc:creator>
  <cp:lastModifiedBy>lid</cp:lastModifiedBy>
  <cp:lastPrinted>2018-01-26T06:30:00Z</cp:lastPrinted>
  <dcterms:modified xsi:type="dcterms:W3CDTF">2018-03-27T03:11:15Z</dcterms:modified>
  <dc:title>山东省民族事务委员会</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